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南通回力橡胶有限公司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91320684138772062T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江苏省海门市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周洪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15851338990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资源综合利用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725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725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tbl>
                  <w:tblPr>
                    <w:tblStyle w:val="8"/>
                    <w:tblW w:w="13320" w:type="dxa"/>
                    <w:tblInd w:w="-13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3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13320" w:type="dxa"/>
                        <w:tcBorders>
                          <w:top w:val="single" w:color="E4EEF6" w:sz="6" w:space="0"/>
                          <w:left w:val="single" w:color="E4EEF6" w:sz="6" w:space="0"/>
                          <w:bottom w:val="single" w:color="E4EEF6" w:sz="6" w:space="0"/>
                          <w:right w:val="single" w:color="E4EEF6" w:sz="6" w:space="0"/>
                        </w:tcBorders>
                        <w:tcMar>
                          <w:top w:w="180" w:type="dxa"/>
                          <w:left w:w="150" w:type="dxa"/>
                          <w:bottom w:w="18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制造业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4.0亿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 w:firstLineChars="250"/>
              <w:rPr>
                <w:rFonts w:hint="eastAsia" w:ascii="仿宋" w:hAnsi="仿宋" w:cs="仿宋"/>
                <w:b/>
                <w:szCs w:val="21"/>
              </w:rPr>
            </w:pPr>
            <w:r>
              <w:rPr>
                <w:rFonts w:hint="eastAsia" w:ascii="仿宋" w:hAnsi="仿宋" w:cs="仿宋"/>
                <w:b/>
                <w:szCs w:val="21"/>
              </w:rPr>
              <w:t>需求名称：无色迁移轮胎再生橡胶的开发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552" w:firstLineChars="250"/>
              <w:rPr>
                <w:rFonts w:hint="eastAsia" w:ascii="仿宋" w:hAnsi="仿宋" w:cs="仿宋"/>
                <w:b/>
                <w:szCs w:val="21"/>
              </w:rPr>
            </w:pPr>
            <w:r>
              <w:rPr>
                <w:rFonts w:hint="eastAsia" w:ascii="仿宋" w:hAnsi="仿宋" w:cs="仿宋"/>
                <w:b/>
                <w:szCs w:val="21"/>
              </w:rPr>
              <w:t>需求名称：无色迁移轮胎再生橡胶的开发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40" w:firstLineChars="200"/>
              <w:rPr>
                <w:rFonts w:hint="eastAsia" w:ascii="仿宋" w:hAnsi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cs="仿宋"/>
                <w:szCs w:val="21"/>
              </w:rPr>
              <w:t>当前，橡胶制品企业对轮胎再生橡胶的要求越来越高，除常规的拉伸强度、伸长率、门尼粘度等指标外，要求再生胶无色迁移，不变黄、不喷蓝，企业虽经多次配方调整，所用软化剂全部为环保植物油系软化剂，但生产的轮胎再生橡胶时常有喷蓝现象发生，特别是高档鞋材企业，对色迁移的要求非常严格，所以开发无色迁的轮胎再生胶成为企业迫切需求。</w:t>
            </w:r>
          </w:p>
          <w:p>
            <w:pPr>
              <w:ind w:firstLine="440" w:firstLineChars="200"/>
              <w:rPr>
                <w:rFonts w:hint="eastAsia" w:ascii="仿宋" w:hAnsi="仿宋" w:cs="仿宋"/>
                <w:szCs w:val="21"/>
              </w:rPr>
            </w:pPr>
          </w:p>
          <w:p>
            <w:pPr>
              <w:ind w:firstLine="440" w:firstLineChars="200"/>
              <w:rPr>
                <w:rFonts w:hint="eastAsia" w:ascii="仿宋" w:hAnsi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企业是专业的再生橡胶生产企业，对无色迁移再生胶研究已多年，目前废轮胎的主要原材料是全钢胎，其本身存在变色泛蓝等问题，因此再生后的胶料也存在变色泛蓝问题，如保改进工艺、添加改性助剂是企业需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cs="仿宋"/>
                <w:szCs w:val="21"/>
              </w:rPr>
            </w:pPr>
            <w:r>
              <w:rPr>
                <w:rFonts w:hint="eastAsia" w:ascii="仿宋" w:hAnsi="仿宋" w:cs="仿宋"/>
                <w:szCs w:val="21"/>
              </w:rPr>
              <w:t>希望与高分子材料专业的院校合作。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201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AF307D1"/>
    <w:rsid w:val="13591E71"/>
    <w:rsid w:val="19DA4995"/>
    <w:rsid w:val="1A46349A"/>
    <w:rsid w:val="1CBD4558"/>
    <w:rsid w:val="1CEF05EB"/>
    <w:rsid w:val="26EC3981"/>
    <w:rsid w:val="2C5353D3"/>
    <w:rsid w:val="2DC17782"/>
    <w:rsid w:val="30D16798"/>
    <w:rsid w:val="33341F5D"/>
    <w:rsid w:val="35592204"/>
    <w:rsid w:val="38F72926"/>
    <w:rsid w:val="39E57A2A"/>
    <w:rsid w:val="3D641868"/>
    <w:rsid w:val="45684002"/>
    <w:rsid w:val="469C5382"/>
    <w:rsid w:val="52C8118E"/>
    <w:rsid w:val="535278BC"/>
    <w:rsid w:val="5B621F11"/>
    <w:rsid w:val="5FE144C9"/>
    <w:rsid w:val="6C0B1033"/>
    <w:rsid w:val="6DFF0DFF"/>
    <w:rsid w:val="6E6A7BB0"/>
    <w:rsid w:val="74F44965"/>
    <w:rsid w:val="7FD8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1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2018-08-14T06:57:17Z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