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28"/>
        <w:gridCol w:w="432"/>
        <w:gridCol w:w="155"/>
        <w:gridCol w:w="1738"/>
        <w:gridCol w:w="1050"/>
        <w:gridCol w:w="108"/>
        <w:gridCol w:w="1317"/>
        <w:gridCol w:w="147"/>
        <w:gridCol w:w="119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江苏辛普森新能源有限公司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91321003763558256N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80516259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30191.516751万人民币元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低压蒸汽喷射制冷机技术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低压蒸汽喷射制冷机技术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蒸汽压力降至0.3MPa； 2、蒸汽耗量降到3吨/小时以下制取百万大卡/小时冷量</w:t>
            </w:r>
          </w:p>
          <w:p>
            <w:pPr>
              <w:numPr>
                <w:numId w:val="0"/>
              </w:numPr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低压蒸汽喷射制冷机以低压蒸汽（2～3kg/cm2）作为动力，通过拉伐尔喷嘴产生超音速气流来产生高真空（真空度在750mmHg以上），使蒸发器中的冷水能在5℃-10℃的范围内进行蒸发制冷，所产生5℃-10℃的冷水可用于空调和产品的冷却。采用优化的喷嘴结构和扩压器结构，喷嘴采用特殊表面处理工艺以提高其硬度和耐磨性，同时采用高效的蒸发器和冷凝器。制冷系数COP值可达到0.65以上（即1吨蒸汽可产生32万千卡的冷量）。低压蒸汽喷射制冷机以水为工质，无污染无毒，环境友好，同时主体设备无运转部件，性能稳定可靠，操作简单，制造成本低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"https://www.qichacha.com/pl_pee86558dd125a7b4ef8def92181427c.html"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王琳玉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0044"/>
    <w:multiLevelType w:val="singleLevel"/>
    <w:tmpl w:val="4ABF00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83D14"/>
    <w:rsid w:val="03D83D14"/>
    <w:rsid w:val="5EB01E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2018-08-10T01:07:00Z</dcterms:created>
  <dc:creator>G x，</dc:creator>
  <cp:lastModifiedBy>张明星</cp:lastModifiedBy>
  <dcterms:modified xsi:type="dcterms:W3CDTF">2018-08-14T03:26:44Z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