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潍柴动力扬州柴油机有限责任公司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91321091699341895Q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尤 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87526597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机械行业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柴油机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国有企业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ab/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满足欧VI排放标准的四气门发动机低速扭矩提升技术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在开发排量2.3L满足欧VI排放标准的轻型高速车用柴油机，采取的技术路线：共轨+EGR+DOC+DPF+SCR，在实际开发过程中存在：低速扭矩达不到开发指标要求（低速扭矩指标：280N.m/1000r/min），通过增加油量等措施又会造成烟度和排温超限值。常用工况区各项指标满足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sz w:val="24"/>
              </w:rPr>
              <w:t>前提下，需达到以下目标：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begin"/>
            </w:r>
            <w:r>
              <w:rPr>
                <w:rFonts w:hint="eastAsia" w:ascii="Times New Roman" w:hAnsi="Times New Roman" w:eastAsia="仿宋_GB2312" w:cs="宋体"/>
                <w:sz w:val="24"/>
              </w:rPr>
              <w:instrText xml:space="preserve"> = 1 \* GB3 </w:instrText>
            </w: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①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 w:cs="宋体"/>
                <w:sz w:val="24"/>
              </w:rPr>
              <w:tab/>
            </w:r>
            <w:r>
              <w:rPr>
                <w:rFonts w:hint="eastAsia" w:ascii="Times New Roman" w:hAnsi="Times New Roman" w:eastAsia="仿宋_GB2312" w:cs="宋体"/>
                <w:sz w:val="24"/>
              </w:rPr>
              <w:t>发动机转速在1000r/min时扭矩达到280N.m以上；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begin"/>
            </w:r>
            <w:r>
              <w:rPr>
                <w:rFonts w:hint="eastAsia" w:ascii="Times New Roman" w:hAnsi="Times New Roman" w:eastAsia="仿宋_GB2312" w:cs="宋体"/>
                <w:sz w:val="24"/>
              </w:rPr>
              <w:instrText xml:space="preserve"> = 2 \* GB3 </w:instrText>
            </w: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②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 w:cs="宋体"/>
                <w:sz w:val="24"/>
              </w:rPr>
              <w:tab/>
            </w:r>
            <w:r>
              <w:rPr>
                <w:rFonts w:hint="eastAsia" w:ascii="Times New Roman" w:hAnsi="Times New Roman" w:eastAsia="仿宋_GB2312" w:cs="宋体"/>
                <w:sz w:val="24"/>
              </w:rPr>
              <w:t>烟度在限值范围内（烟度≤1.5FSN），涡后排温≤580℃。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公司设有省级技术中心，拥有产品试验台架（20个）、排放测试设备、HRIBA气体分析仪、AVL颗粒分析仪、AVL烟度计、燃烧分析仪等先进试验设备，具备国V产品研发以及年产20万台基本产品试验需求。同时，公司将于2018年投入3600万元，购置全流排放台架及相关辅助设备，使其具备满足欧Ⅵ排放标准产品研发及试验能力。</w:t>
            </w: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能够将技术需求切实转化为批量生产、实际应用的高校及科研院所，不需要论文指标。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7F47BB"/>
    <w:rsid w:val="00474759"/>
    <w:rsid w:val="00CA7084"/>
    <w:rsid w:val="0BE90AAA"/>
    <w:rsid w:val="3B7F47BB"/>
    <w:rsid w:val="5AA47ED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916</Words>
  <Characters>470</Characters>
  <Lines>3</Lines>
  <Paragraphs>2</Paragraphs>
  <TotalTime>0</TotalTime>
  <ScaleCrop>false</ScaleCrop>
  <LinksUpToDate>false</LinksUpToDate>
  <CharactersWithSpaces>1384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2018-08-09T09:53:00Z</dcterms:created>
  <dc:creator>G x，</dc:creator>
  <cp:lastModifiedBy>张明星</cp:lastModifiedBy>
  <dcterms:modified xsi:type="dcterms:W3CDTF">2018-08-14T01:20:42Z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