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bookmarkStart w:id="3" w:name="_GoBack"/>
      <w:bookmarkStart w:id="0" w:name="_Toc20810_WPSOffice_Level2"/>
      <w:r>
        <w:rPr>
          <w:rFonts w:hint="eastAsia" w:ascii="黑体" w:hAnsi="黑体" w:eastAsia="黑体" w:cs="黑体"/>
          <w:sz w:val="36"/>
          <w:szCs w:val="36"/>
          <w:lang w:val="en-US" w:eastAsia="zh-CN"/>
        </w:rPr>
        <w:t>用于废水处理、黑臭水体治理和快速提标改造或</w:t>
      </w:r>
      <w:bookmarkEnd w:id="0"/>
    </w:p>
    <w:p>
      <w:pPr>
        <w:jc w:val="center"/>
        <w:rPr>
          <w:rFonts w:hint="eastAsia" w:ascii="黑体" w:hAnsi="黑体" w:eastAsia="黑体" w:cs="黑体"/>
          <w:sz w:val="36"/>
          <w:szCs w:val="36"/>
          <w:lang w:val="en-US" w:eastAsia="zh-CN"/>
        </w:rPr>
      </w:pPr>
      <w:bookmarkStart w:id="1" w:name="_Toc27047_WPSOffice_Level2"/>
      <w:r>
        <w:rPr>
          <w:rFonts w:hint="eastAsia" w:ascii="黑体" w:hAnsi="黑体" w:eastAsia="黑体" w:cs="黑体"/>
          <w:sz w:val="36"/>
          <w:szCs w:val="36"/>
          <w:lang w:val="en-US" w:eastAsia="zh-CN"/>
        </w:rPr>
        <w:t>原地扩容技术配套</w:t>
      </w:r>
      <w:bookmarkEnd w:id="1"/>
    </w:p>
    <w:bookmarkEnd w:id="3"/>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82671660</w:t>
            </w:r>
            <w:r>
              <w:rPr>
                <w:rFonts w:hint="default" w:ascii="Times New Roman" w:hAnsi="Times New Roman" w:eastAsia="仿宋" w:cs="Times New Roman"/>
                <w:kern w:val="0"/>
                <w:sz w:val="24"/>
                <w:szCs w:val="24"/>
                <w:lang w:val="en-US" w:eastAsia="zh-CN"/>
              </w:rPr>
              <w:t xml:space="preserve">   </w:t>
            </w:r>
            <w:r>
              <w:rPr>
                <w:rFonts w:hint="default" w:ascii="Times New Roman" w:hAnsi="Times New Roman" w:eastAsia="仿宋" w:cs="Times New Roman"/>
                <w:kern w:val="0"/>
                <w:sz w:val="24"/>
                <w:szCs w:val="24"/>
                <w:lang w:eastAsia="zh-CN"/>
              </w:rPr>
              <w:t>18600939712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left w:val="nil"/>
            </w:tcBorders>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随着城市化的推进，人民群众生活水平的不断提高，对环境要求日益严苛，国内已经基本完成了所有建制城镇污水处理厂的建设，但是如何在现有处理工艺的基础上进一步提升出水水质和处理能力，想要进一步提标改造或扩容，则需要停运现有污水处理系统长达数月甚至一年以上的建设周期，对现有污水管网和废水处理系统产生了巨大的冲击，高成本和高能耗的增氧产生大量的碳排放，100年以上的曝气增氧技术毫无先进性可言。</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冬奥会将于2022年在北京举行，愿景是打造纯洁的体育运动环境、自然生态环境和社会人文环境，推动冬季运动蓬勃发展。习主席已经向全世界人民发出邀请相约北京。基于国家青山绿水的大战略和冬奥会的有利时机，北京及冬奥会场馆及其周边的水环境、污水都需要治理和再利用，清洁的环境离不开技术的支撑，不断降低废水处理和回用的能耗和碳排放，使北京冬奥会成为科技冬奥和绿色冬奥。</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我</w:t>
            </w:r>
            <w:r>
              <w:rPr>
                <w:rFonts w:hint="eastAsia" w:ascii="Times New Roman" w:hAnsi="Times New Roman" w:eastAsia="仿宋" w:cs="Times New Roman"/>
                <w:kern w:val="0"/>
                <w:sz w:val="24"/>
                <w:szCs w:val="24"/>
                <w:lang w:eastAsia="zh-CN"/>
              </w:rPr>
              <w:t>公司</w:t>
            </w:r>
            <w:r>
              <w:rPr>
                <w:rFonts w:hint="default" w:ascii="Times New Roman" w:hAnsi="Times New Roman" w:eastAsia="仿宋" w:cs="Times New Roman"/>
                <w:kern w:val="0"/>
                <w:sz w:val="24"/>
                <w:szCs w:val="24"/>
              </w:rPr>
              <w:t>希望能够寻求开发一种新的技术，低能耗、低碳排放、设备化、标准化、不影响现有污水处理系统的产品，就应用于废水处理、黑臭水体治理和提标或扩容的低能耗设备化的污水处理膜产品。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left w:val="nil"/>
            </w:tcBorders>
            <w:vAlign w:val="center"/>
          </w:tcPr>
          <w:p>
            <w:pPr>
              <w:pStyle w:val="4"/>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应用于废水处理、黑臭水体治理和现有污水处理系统的提标或扩容的低能耗设备化的膜产品：</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2）</w:t>
            </w:r>
            <w:r>
              <w:rPr>
                <w:rFonts w:hint="default" w:ascii="Times New Roman" w:hAnsi="Times New Roman" w:eastAsia="仿宋" w:cs="Times New Roman"/>
                <w:kern w:val="0"/>
                <w:sz w:val="24"/>
                <w:szCs w:val="24"/>
              </w:rPr>
              <w:t>该技术用于提标改造从一级B到一级A或到地表水准四类水排放标准，不需要新占用地，不需要开挖建池，不需要停运现有污水处理系统。</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该技术用于现有污水处理系统处理能力扩容30%以内，不需要新占用地，不需要开挖建池，不需要停运现有污水处理系统。</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4）</w:t>
            </w:r>
            <w:r>
              <w:rPr>
                <w:rFonts w:hint="default" w:ascii="Times New Roman" w:hAnsi="Times New Roman" w:eastAsia="仿宋" w:cs="Times New Roman"/>
                <w:kern w:val="0"/>
                <w:sz w:val="24"/>
                <w:szCs w:val="24"/>
              </w:rPr>
              <w:t>该技术相对于现有增氧技术的碳排放至少减少50%以上，使用该技术的增氧成本相对于现有技术的增氧成本要减少50%以上，且能效不少于10kgO</w:t>
            </w:r>
            <w:r>
              <w:rPr>
                <w:rFonts w:hint="default" w:ascii="Times New Roman" w:hAnsi="Times New Roman" w:eastAsia="仿宋" w:cs="Times New Roman"/>
                <w:kern w:val="0"/>
                <w:sz w:val="24"/>
                <w:szCs w:val="24"/>
                <w:vertAlign w:val="superscript"/>
              </w:rPr>
              <w:t>2</w:t>
            </w:r>
            <w:r>
              <w:rPr>
                <w:rFonts w:hint="default" w:ascii="Times New Roman" w:hAnsi="Times New Roman" w:eastAsia="仿宋" w:cs="Times New Roman"/>
                <w:kern w:val="0"/>
                <w:sz w:val="24"/>
                <w:szCs w:val="24"/>
              </w:rPr>
              <w:t>/kW.h。</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5）</w:t>
            </w:r>
            <w:r>
              <w:rPr>
                <w:rFonts w:hint="default" w:ascii="Times New Roman" w:hAnsi="Times New Roman" w:eastAsia="仿宋" w:cs="Times New Roman"/>
                <w:kern w:val="0"/>
                <w:sz w:val="24"/>
                <w:szCs w:val="24"/>
              </w:rPr>
              <w:t>使用该技术相对于传统活性污泥法可以减少剩余污泥的产生量至少50%以上，大大的减少了污泥处置的费用和污泥处理对环境带来的潜在风险和污染。</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6）</w:t>
            </w:r>
            <w:r>
              <w:rPr>
                <w:rFonts w:hint="default" w:ascii="Times New Roman" w:hAnsi="Times New Roman" w:eastAsia="仿宋" w:cs="Times New Roman"/>
                <w:kern w:val="0"/>
                <w:sz w:val="24"/>
                <w:szCs w:val="24"/>
              </w:rPr>
              <w:t>使用该技术建设成本低于现有成熟技术，运行成本低于现有成熟技术。</w:t>
            </w:r>
          </w:p>
          <w:p>
            <w:pPr>
              <w:pStyle w:val="4"/>
              <w:numPr>
                <w:ilvl w:val="0"/>
                <w:numId w:val="0"/>
              </w:numPr>
              <w:ind w:leftChars="0"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7）</w:t>
            </w:r>
            <w:r>
              <w:rPr>
                <w:rFonts w:hint="default" w:ascii="Times New Roman" w:hAnsi="Times New Roman" w:eastAsia="仿宋" w:cs="Times New Roman"/>
                <w:kern w:val="0"/>
                <w:sz w:val="24"/>
                <w:szCs w:val="24"/>
              </w:rPr>
              <w:t>使用该技术进行提标改造或扩容周期不多于3个月。</w:t>
            </w:r>
          </w:p>
          <w:p>
            <w:pPr>
              <w:pStyle w:val="4"/>
              <w:numPr>
                <w:ilvl w:val="0"/>
                <w:numId w:val="0"/>
              </w:numPr>
              <w:ind w:firstLine="480" w:firstLineChars="200"/>
              <w:rPr>
                <w:rFonts w:hint="default" w:ascii="Times New Roman" w:hAnsi="Times New Roman" w:eastAsia="仿宋" w:cs="Times New Roman"/>
                <w:sz w:val="24"/>
                <w:szCs w:val="24"/>
              </w:rPr>
            </w:pPr>
            <w:r>
              <w:rPr>
                <w:rFonts w:hint="eastAsia" w:ascii="Times New Roman" w:hAnsi="Times New Roman" w:eastAsia="仿宋" w:cs="Times New Roman"/>
                <w:kern w:val="0"/>
                <w:sz w:val="24"/>
                <w:szCs w:val="24"/>
                <w:lang w:val="en-US" w:eastAsia="zh-CN"/>
              </w:rPr>
              <w:t>8）</w:t>
            </w:r>
            <w:r>
              <w:rPr>
                <w:rFonts w:hint="default" w:ascii="Times New Roman" w:hAnsi="Times New Roman" w:eastAsia="仿宋" w:cs="Times New Roman"/>
                <w:kern w:val="0"/>
                <w:sz w:val="24"/>
                <w:szCs w:val="24"/>
              </w:rPr>
              <w:t>使用或不使用该技术，不影响现有系统的运行和性能。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left w:val="nil"/>
            </w:tcBorders>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公司正在开展废水处理和提标改造的相关技术开发和应用研究，在国内外投入50万美元拥有两套中试系统正在进行验证测试。</w:t>
            </w:r>
          </w:p>
          <w:p>
            <w:pP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630" w:type="dxa"/>
            <w:vMerge w:val="restart"/>
            <w:tcBorders>
              <w:top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公司希望和市政集团，市政设计院，给排水集团研究院，膜技术开发公司，膜应用工程公司等合作开发新的污水处理技术和案例。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vAlign w:val="center"/>
          </w:tcPr>
          <w:p>
            <w:pPr>
              <w:rPr>
                <w:rFonts w:hint="default" w:ascii="Times New Roman" w:hAnsi="Times New Roman" w:eastAsia="仿宋" w:cs="Times New Roman"/>
                <w:kern w:val="0"/>
                <w:sz w:val="24"/>
                <w:szCs w:val="24"/>
              </w:rPr>
            </w:pPr>
          </w:p>
        </w:tc>
        <w:tc>
          <w:tcPr>
            <w:tcW w:w="1215" w:type="dxa"/>
            <w:gridSpan w:val="2"/>
            <w:tcBorders>
              <w:left w:val="nil"/>
            </w:tcBorders>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left w:val="nil"/>
            </w:tcBorders>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□技术转让□技术入股□联合开发□委托研发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□委托团队、专家长期技术服务□共建新研发、生产实体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left w:val="nil"/>
            </w:tcBorders>
            <w:vAlign w:val="center"/>
          </w:tcPr>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□技术转移□研发费用加计扣除□知识产权□科技金融</w:t>
            </w:r>
          </w:p>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□检验检测□质量体系□行业政策□科技政策□招标采购</w:t>
            </w:r>
          </w:p>
          <w:p>
            <w:pPr>
              <w:pStyle w:val="5"/>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□产品/服务市场占有率分析□市场前景分析□企业发展战略咨询□其他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vAlign w:val="center"/>
          </w:tcPr>
          <w:p>
            <w:pPr>
              <w:rPr>
                <w:rFonts w:hint="default" w:ascii="Times New Roman" w:hAnsi="Times New Roman" w:eastAsia="仿宋" w:cs="Times New Roman"/>
                <w:kern w:val="0"/>
                <w:sz w:val="24"/>
                <w:szCs w:val="24"/>
              </w:rPr>
            </w:pPr>
            <w:bookmarkStart w:id="2" w:name="OLE_LINK1"/>
            <w:r>
              <w:rPr>
                <w:rFonts w:hint="default" w:ascii="Times New Roman" w:hAnsi="Times New Roman" w:eastAsia="仿宋" w:cs="Times New Roman"/>
                <w:sz w:val="24"/>
                <w:szCs w:val="24"/>
              </w:rPr>
              <w:t>√</w:t>
            </w:r>
            <w:bookmarkEnd w:id="2"/>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法人代表：年月日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57241"/>
    <w:rsid w:val="3E15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pPr>
  </w:style>
  <w:style w:type="paragraph" w:customStyle="1" w:styleId="5">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2019-01-15T01:34:00Z</dcterms:created>
  <dc:creator>Administrator</dc:creator>
  <cp:lastModifiedBy>Administrator</cp:lastModifiedBy>
  <dcterms:modified xsi:type="dcterms:W3CDTF">2019-01-15T01:35:06Z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