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bookmarkStart w:id="0" w:name="_Hlk521430422"/>
            <w:r>
              <w:rPr>
                <w:rFonts w:hint="eastAsia" w:ascii="仿宋_GB2312" w:hAnsi="宋体" w:eastAsia="仿宋_GB2312" w:cs="宋体"/>
                <w:b/>
                <w:bCs/>
                <w:sz w:val="24"/>
              </w:rPr>
              <w:t>需求编号：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需求名称：一种结构简单使用方便且能够承受较大压力的管道封堵设备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行业领域：市政设施</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sym w:font="Wingdings 2" w:char="F052"/>
            </w: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在排水管道的施工及抢险过程中，经常需要将排水管道进行局部的封堵，并把排水管道中的水抽出，以满足施工作业人员进行施工作业。排水管道封堵是排水管道施工和抢险工作中的首要环节，并贯穿作业始终。</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r>
              <w:rPr>
                <w:rFonts w:hint="eastAsia" w:ascii="仿宋_GB2312" w:hAnsi="宋体" w:eastAsia="仿宋_GB2312" w:cs="宋体"/>
                <w:sz w:val="24"/>
              </w:rPr>
              <w:t>在市政工程中，尤其是在排水管道的施工中，经常需要将排水管道进行局部的封，并把排水管道中的水抽出，以满足施工作业人员进行施工作业。而传统的管道封堵方法是采用封堵气囊堵水，采用封堵气囊进行堵水的工作原理是利用优质橡胶做成的管道封堵气囊，通过充气方法使其膨胀，当堵水气囊内的气体压力达到规定要求时，堵水气囊填满整个管道断面，利用管道封堵气囊壁与管道产生的摩擦力堵住漏水，从而达到目标管段内无渗水的目的。然而采用上述封堵方式适用范围并不广泛，对于流体管道压力较大时，采用上述封堵方式产生的摩擦力不足以克服流体压力。因此，急需研究一种结构简单、使用方便且能够承受较大压力的管道封堵设备。</w:t>
            </w:r>
          </w:p>
          <w:p>
            <w:pPr>
              <w:rPr>
                <w:rFonts w:ascii="仿宋_GB2312" w:hAnsi="宋体" w:eastAsia="仿宋_GB2312" w:cs="宋体"/>
                <w:sz w:val="24"/>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rPr>
              <w:t>目前排水管道中运用的堵水方法有：</w:t>
            </w:r>
          </w:p>
          <w:p>
            <w:pPr>
              <w:rPr>
                <w:rFonts w:ascii="仿宋_GB2312" w:hAnsi="宋体" w:eastAsia="仿宋_GB2312" w:cs="宋体"/>
                <w:kern w:val="0"/>
                <w:sz w:val="24"/>
              </w:rPr>
            </w:pPr>
            <w:r>
              <w:rPr>
                <w:rFonts w:hint="eastAsia" w:ascii="仿宋_GB2312" w:hAnsi="宋体" w:eastAsia="仿宋_GB2312" w:cs="宋体"/>
                <w:kern w:val="0"/>
                <w:sz w:val="24"/>
              </w:rPr>
              <w:t>1．人工砌体封堵，人工砌体封堵可以就地取材，一次性投入低。但是砌筑需提前导水，拆除时还需降低水位，效率低，残存建筑垃圾。</w:t>
            </w:r>
          </w:p>
          <w:p>
            <w:pPr>
              <w:rPr>
                <w:rFonts w:ascii="仿宋_GB2312" w:hAnsi="宋体" w:eastAsia="仿宋_GB2312" w:cs="宋体"/>
                <w:kern w:val="0"/>
                <w:sz w:val="24"/>
              </w:rPr>
            </w:pPr>
            <w:r>
              <w:rPr>
                <w:rFonts w:hint="eastAsia" w:ascii="仿宋_GB2312" w:hAnsi="宋体" w:eastAsia="仿宋_GB2312" w:cs="宋体"/>
                <w:kern w:val="0"/>
                <w:sz w:val="24"/>
              </w:rPr>
              <w:t>2．袋装砂石封堵，袋装砂石封堵操作方便，但是封堵不彻底，效率低，拆除管道内残存大量垃圾。</w:t>
            </w:r>
          </w:p>
          <w:p>
            <w:pPr>
              <w:rPr>
                <w:rFonts w:ascii="仿宋_GB2312" w:hAnsi="宋体" w:eastAsia="仿宋_GB2312" w:cs="宋体"/>
                <w:kern w:val="0"/>
                <w:sz w:val="24"/>
              </w:rPr>
            </w:pPr>
            <w:r>
              <w:rPr>
                <w:rFonts w:hint="eastAsia" w:ascii="仿宋_GB2312" w:hAnsi="宋体" w:eastAsia="仿宋_GB2312" w:cs="宋体"/>
                <w:kern w:val="0"/>
                <w:sz w:val="24"/>
              </w:rPr>
              <w:t>3．插槽闸板封堵，插槽闸板封堵使用方便，但是一次性投入大，井室内腐蚀性气体浓度高易使闸板腐蚀。</w:t>
            </w:r>
          </w:p>
          <w:p>
            <w:pPr>
              <w:rPr>
                <w:rFonts w:ascii="仿宋_GB2312" w:hAnsi="宋体" w:eastAsia="仿宋_GB2312" w:cs="宋体"/>
                <w:kern w:val="0"/>
                <w:sz w:val="24"/>
              </w:rPr>
            </w:pPr>
            <w:r>
              <w:rPr>
                <w:rFonts w:hint="eastAsia" w:ascii="仿宋_GB2312" w:hAnsi="宋体" w:eastAsia="仿宋_GB2312" w:cs="宋体"/>
                <w:kern w:val="0"/>
                <w:sz w:val="24"/>
              </w:rPr>
              <w:t>4．充气管塞封堵，充气管塞封堵方便快捷，易操作，止水效果好，但是一次性投入高，管道清理要求高，工作时皮堵内为高压缩气体易造成人身伤害。</w:t>
            </w:r>
          </w:p>
          <w:p>
            <w:pPr>
              <w:rPr>
                <w:rFonts w:ascii="仿宋_GB2312" w:hAnsi="宋体" w:eastAsia="仿宋_GB2312" w:cs="宋体"/>
                <w:kern w:val="0"/>
                <w:sz w:val="24"/>
              </w:rPr>
            </w:pPr>
            <w:r>
              <w:rPr>
                <w:rFonts w:hint="eastAsia" w:ascii="仿宋_GB2312" w:hAnsi="宋体" w:eastAsia="仿宋_GB2312" w:cs="宋体"/>
                <w:kern w:val="0"/>
                <w:sz w:val="24"/>
              </w:rPr>
              <w:t>综合上述几种堵水方法，问题主要有：堵水成本高、一次使用、存在污染、操作不便、安全性低等</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autoSpaceDN w:val="0"/>
              <w:ind w:firstLine="420"/>
              <w:textAlignment w:val="baseline"/>
            </w:pPr>
            <w:r>
              <w:rPr>
                <w:rFonts w:hint="eastAsia"/>
              </w:rPr>
              <w:t>传统的管道封堵方法是多数采用封堵气囊堵水，采用封堵气囊进行堵水的工作原理是利用优质橡胶做成的管道封堵气囊，通过充气方法使其膨胀，当堵水气囊内的气体压力达到规定要求时，堵水气囊填满整个管道断面，利用管道封堵气囊壁与管道产生的摩擦力堵住漏水，从而达到目标管段内无渗水的目的。然而采用上述封堵方式适用范围并不广泛，对于流体管道压力较大时，采用上述封堵方式产生的摩擦力不足以克服流体压力，并且结构略微复杂、操作是需要严格控制封堵气囊的压力，并存在安全风险。</w:t>
            </w:r>
          </w:p>
          <w:p>
            <w:pPr>
              <w:ind w:firstLine="420"/>
            </w:pPr>
            <w:r>
              <w:rPr>
                <w:rFonts w:hint="eastAsia"/>
              </w:rPr>
              <w:t>需要一种针对DN600mm——DN1000mm的排水管道，价格低廉、重复使用、环保、操作快捷简便、安全性高，堵水效果性好的堵水工具。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w:t>
            </w: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rPr>
              <w:sym w:font="Wingdings 2" w:char="0052"/>
            </w: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5A"/>
    <w:rsid w:val="00003D38"/>
    <w:rsid w:val="000118F3"/>
    <w:rsid w:val="00054794"/>
    <w:rsid w:val="00075F1D"/>
    <w:rsid w:val="00082B88"/>
    <w:rsid w:val="000B0162"/>
    <w:rsid w:val="000B14FD"/>
    <w:rsid w:val="000B19D0"/>
    <w:rsid w:val="000B3EA2"/>
    <w:rsid w:val="000C649C"/>
    <w:rsid w:val="0010501B"/>
    <w:rsid w:val="00107A35"/>
    <w:rsid w:val="00107A4C"/>
    <w:rsid w:val="001257A6"/>
    <w:rsid w:val="0012712C"/>
    <w:rsid w:val="00152489"/>
    <w:rsid w:val="00172174"/>
    <w:rsid w:val="001755FF"/>
    <w:rsid w:val="00176715"/>
    <w:rsid w:val="00185AD8"/>
    <w:rsid w:val="001A6BDB"/>
    <w:rsid w:val="001C4D71"/>
    <w:rsid w:val="001D2F2B"/>
    <w:rsid w:val="001D36D9"/>
    <w:rsid w:val="001F0DAF"/>
    <w:rsid w:val="001F41E1"/>
    <w:rsid w:val="00212BA9"/>
    <w:rsid w:val="00226CB4"/>
    <w:rsid w:val="00254D0F"/>
    <w:rsid w:val="002618B6"/>
    <w:rsid w:val="00281803"/>
    <w:rsid w:val="00286FFA"/>
    <w:rsid w:val="002A4DFC"/>
    <w:rsid w:val="002A5968"/>
    <w:rsid w:val="002B6A6A"/>
    <w:rsid w:val="002C2586"/>
    <w:rsid w:val="002E60DF"/>
    <w:rsid w:val="00304C0F"/>
    <w:rsid w:val="0031027C"/>
    <w:rsid w:val="003125F0"/>
    <w:rsid w:val="003209CE"/>
    <w:rsid w:val="0032266A"/>
    <w:rsid w:val="003478CB"/>
    <w:rsid w:val="00347AD6"/>
    <w:rsid w:val="00372340"/>
    <w:rsid w:val="003D3E2D"/>
    <w:rsid w:val="003E20D4"/>
    <w:rsid w:val="003F0571"/>
    <w:rsid w:val="003F1706"/>
    <w:rsid w:val="00443AF2"/>
    <w:rsid w:val="00475D2F"/>
    <w:rsid w:val="00485958"/>
    <w:rsid w:val="00496076"/>
    <w:rsid w:val="004A2CAC"/>
    <w:rsid w:val="004C18DD"/>
    <w:rsid w:val="004D56DF"/>
    <w:rsid w:val="004D58DE"/>
    <w:rsid w:val="004E0091"/>
    <w:rsid w:val="004F1100"/>
    <w:rsid w:val="004F587A"/>
    <w:rsid w:val="005023B2"/>
    <w:rsid w:val="00510D57"/>
    <w:rsid w:val="00510F09"/>
    <w:rsid w:val="00563CDE"/>
    <w:rsid w:val="00570776"/>
    <w:rsid w:val="00586E4F"/>
    <w:rsid w:val="00595143"/>
    <w:rsid w:val="005B074F"/>
    <w:rsid w:val="005C5C93"/>
    <w:rsid w:val="005F0E28"/>
    <w:rsid w:val="005F40BF"/>
    <w:rsid w:val="005F429C"/>
    <w:rsid w:val="00600BD1"/>
    <w:rsid w:val="00602094"/>
    <w:rsid w:val="006218F4"/>
    <w:rsid w:val="00621E42"/>
    <w:rsid w:val="00623954"/>
    <w:rsid w:val="00627574"/>
    <w:rsid w:val="00635119"/>
    <w:rsid w:val="00641286"/>
    <w:rsid w:val="006425F8"/>
    <w:rsid w:val="0069301E"/>
    <w:rsid w:val="00697416"/>
    <w:rsid w:val="006A5ADE"/>
    <w:rsid w:val="006D4F27"/>
    <w:rsid w:val="006E3A77"/>
    <w:rsid w:val="00701C78"/>
    <w:rsid w:val="00737E60"/>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61A2"/>
    <w:rsid w:val="00871BC2"/>
    <w:rsid w:val="00896A3A"/>
    <w:rsid w:val="008A1702"/>
    <w:rsid w:val="008A39BF"/>
    <w:rsid w:val="008B790E"/>
    <w:rsid w:val="008F2B88"/>
    <w:rsid w:val="00913187"/>
    <w:rsid w:val="00922B1E"/>
    <w:rsid w:val="009307F2"/>
    <w:rsid w:val="00953B71"/>
    <w:rsid w:val="0096107C"/>
    <w:rsid w:val="009741CC"/>
    <w:rsid w:val="00975A1F"/>
    <w:rsid w:val="00977D45"/>
    <w:rsid w:val="009C022C"/>
    <w:rsid w:val="00A17EB9"/>
    <w:rsid w:val="00A2022C"/>
    <w:rsid w:val="00A20C56"/>
    <w:rsid w:val="00A4364A"/>
    <w:rsid w:val="00AB072E"/>
    <w:rsid w:val="00AD4E81"/>
    <w:rsid w:val="00B53B6C"/>
    <w:rsid w:val="00B55132"/>
    <w:rsid w:val="00B57CFD"/>
    <w:rsid w:val="00B95D29"/>
    <w:rsid w:val="00BB3CD8"/>
    <w:rsid w:val="00BC6700"/>
    <w:rsid w:val="00BD59A5"/>
    <w:rsid w:val="00C228BC"/>
    <w:rsid w:val="00C3220F"/>
    <w:rsid w:val="00C3498A"/>
    <w:rsid w:val="00C36864"/>
    <w:rsid w:val="00C41ED8"/>
    <w:rsid w:val="00C621F6"/>
    <w:rsid w:val="00C82928"/>
    <w:rsid w:val="00CC08E8"/>
    <w:rsid w:val="00CC7C02"/>
    <w:rsid w:val="00CD1FA9"/>
    <w:rsid w:val="00CD2BDF"/>
    <w:rsid w:val="00CD64C7"/>
    <w:rsid w:val="00CF0E9A"/>
    <w:rsid w:val="00D37771"/>
    <w:rsid w:val="00D47352"/>
    <w:rsid w:val="00D75331"/>
    <w:rsid w:val="00D7643D"/>
    <w:rsid w:val="00DB4E1A"/>
    <w:rsid w:val="00DB5988"/>
    <w:rsid w:val="00DD3CC2"/>
    <w:rsid w:val="00DD593D"/>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5304C"/>
    <w:rsid w:val="00F80007"/>
    <w:rsid w:val="00F80644"/>
    <w:rsid w:val="00F808A7"/>
    <w:rsid w:val="00FA2736"/>
    <w:rsid w:val="00FC206C"/>
    <w:rsid w:val="4A2E3838"/>
    <w:rsid w:val="626716BC"/>
    <w:rsid w:val="6E1A22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unhideWhenUsed/>
    <w:qFormat/>
    <w:uiPriority w:val="99"/>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0"/>
    <w:rPr>
      <w:color w:val="0000FF"/>
      <w:u w:val="single"/>
    </w:rPr>
  </w:style>
  <w:style w:type="character" w:customStyle="1" w:styleId="13">
    <w:name w:val="批注框文本 字符"/>
    <w:basedOn w:val="10"/>
    <w:link w:val="6"/>
    <w:semiHidden/>
    <w:qFormat/>
    <w:uiPriority w:val="99"/>
    <w:rPr>
      <w:sz w:val="18"/>
      <w:szCs w:val="18"/>
    </w:rPr>
  </w:style>
  <w:style w:type="character" w:customStyle="1" w:styleId="14">
    <w:name w:val="页眉 字符"/>
    <w:basedOn w:val="10"/>
    <w:link w:val="8"/>
    <w:qFormat/>
    <w:uiPriority w:val="0"/>
    <w:rPr>
      <w:sz w:val="18"/>
      <w:szCs w:val="18"/>
    </w:rPr>
  </w:style>
  <w:style w:type="character" w:customStyle="1" w:styleId="15">
    <w:name w:val="页脚 字符"/>
    <w:basedOn w:val="10"/>
    <w:link w:val="7"/>
    <w:qFormat/>
    <w:uiPriority w:val="0"/>
    <w:rPr>
      <w:sz w:val="18"/>
      <w:szCs w:val="18"/>
    </w:rPr>
  </w:style>
  <w:style w:type="paragraph" w:customStyle="1" w:styleId="16">
    <w:name w:val="列出段落1"/>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1"/>
    <w:basedOn w:val="1"/>
    <w:qFormat/>
    <w:uiPriority w:val="0"/>
    <w:pPr>
      <w:ind w:firstLine="420" w:firstLineChars="200"/>
    </w:pPr>
    <w:rPr>
      <w:rFonts w:ascii="Calibri" w:hAnsi="Calibri" w:eastAsia="宋体" w:cs="黑体"/>
    </w:rPr>
  </w:style>
  <w:style w:type="paragraph" w:customStyle="1" w:styleId="18">
    <w:name w:val="List Paragraph1"/>
    <w:basedOn w:val="1"/>
    <w:qFormat/>
    <w:uiPriority w:val="0"/>
    <w:pPr>
      <w:ind w:firstLine="420" w:firstLineChars="200"/>
    </w:pPr>
    <w:rPr>
      <w:rFonts w:ascii="Calibri" w:hAnsi="Calibri" w:eastAsia="宋体" w:cs="Times New Roman"/>
    </w:rPr>
  </w:style>
  <w:style w:type="character" w:customStyle="1" w:styleId="19">
    <w:name w:val="标题 1 字符"/>
    <w:basedOn w:val="10"/>
    <w:link w:val="2"/>
    <w:uiPriority w:val="0"/>
    <w:rPr>
      <w:rFonts w:ascii="Calibri" w:hAnsi="Calibri" w:eastAsia="方正小标宋简体" w:cs="Times New Roman"/>
      <w:kern w:val="44"/>
      <w:sz w:val="44"/>
      <w:szCs w:val="24"/>
    </w:rPr>
  </w:style>
  <w:style w:type="character" w:customStyle="1" w:styleId="20">
    <w:name w:val="正文文本 3 字符"/>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字符"/>
    <w:basedOn w:val="10"/>
    <w:link w:val="4"/>
    <w:qFormat/>
    <w:uiPriority w:val="0"/>
    <w:rPr>
      <w:rFonts w:ascii="Calibri" w:hAnsi="Calibri" w:eastAsia="宋体" w:cs="Times New Roman"/>
      <w:sz w:val="24"/>
      <w:szCs w:val="24"/>
    </w:rPr>
  </w:style>
  <w:style w:type="character" w:customStyle="1" w:styleId="23">
    <w:name w:val="日期 字符"/>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12F7B-4DB3-4672-A3BB-388365FB3C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269</Words>
  <Characters>1534</Characters>
  <Lines>12</Lines>
  <Paragraphs>3</Paragraphs>
  <TotalTime>0</TotalTime>
  <ScaleCrop>false</ScaleCrop>
  <LinksUpToDate>false</LinksUpToDate>
  <CharactersWithSpaces>1800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2018-08-02T08:58:00Z</dcterms:created>
  <dc:creator>lenove</dc:creator>
  <cp:lastModifiedBy>张明星</cp:lastModifiedBy>
  <cp:lastPrinted>2017-10-17T02:13:00Z</cp:lastPrinted>
  <dcterms:modified xsi:type="dcterms:W3CDTF">2018-08-13T04:16:05Z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