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45" w:type="dxa"/>
            <w:gridSpan w:val="4"/>
            <w:tcBorders>
              <w:left w:val="single" w:color="auto" w:sz="4" w:space="0"/>
              <w:bottom w:val="single" w:color="auto" w:sz="4" w:space="0"/>
              <w:right w:val="single" w:color="auto" w:sz="4" w:space="0"/>
            </w:tcBorders>
            <w:vAlign w:val="center"/>
          </w:tcPr>
          <w:p>
            <w:pPr>
              <w:rPr>
                <w:rFonts w:hint="eastAsia" w:ascii="仿宋_GB2312" w:hAnsi="宋体" w:eastAsia="仿宋_GB2312" w:cs="宋体"/>
                <w:b/>
                <w:kern w:val="0"/>
                <w:sz w:val="24"/>
                <w:lang w:val="en-US" w:eastAsia="zh-CN"/>
              </w:rPr>
            </w:pPr>
            <w:r>
              <w:rPr>
                <w:rFonts w:hint="eastAsia" w:ascii="仿宋_GB2312" w:hAnsi="宋体" w:eastAsia="仿宋_GB2312" w:cs="宋体"/>
                <w:b/>
                <w:kern w:val="0"/>
                <w:sz w:val="24"/>
              </w:rPr>
              <w:t>需求编号：149</w:t>
            </w:r>
            <w:r>
              <w:rPr>
                <w:rFonts w:hint="eastAsia" w:ascii="仿宋_GB2312" w:hAnsi="宋体" w:eastAsia="仿宋_GB2312" w:cs="宋体"/>
                <w:b/>
                <w:kern w:val="0"/>
                <w:sz w:val="24"/>
                <w:lang w:val="en-US" w:eastAsia="zh-CN"/>
              </w:rPr>
              <w:t xml:space="preserve">    </w:t>
            </w:r>
            <w:r>
              <w:rPr>
                <w:rFonts w:hint="eastAsia" w:ascii="Arial" w:hAnsi="Arial" w:eastAsia="仿宋_GB2312" w:cs="Arial"/>
                <w:kern w:val="0"/>
                <w:sz w:val="24"/>
              </w:rPr>
              <w:t>■</w:t>
            </w:r>
            <w:r>
              <w:rPr>
                <w:rFonts w:hint="eastAsia" w:ascii="仿宋_GB2312" w:hAnsi="宋体" w:eastAsia="仿宋_GB2312" w:cs="宋体"/>
                <w:sz w:val="24"/>
              </w:rPr>
              <w:t>技术研发（关键、核心技术）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45" w:type="dxa"/>
            <w:gridSpan w:val="4"/>
            <w:tcBorders>
              <w:left w:val="single" w:color="auto" w:sz="4" w:space="0"/>
              <w:bottom w:val="single" w:color="auto" w:sz="4" w:space="0"/>
              <w:right w:val="single" w:color="auto" w:sz="4" w:space="0"/>
            </w:tcBorders>
            <w:vAlign w:val="center"/>
          </w:tcPr>
          <w:p>
            <w:pPr>
              <w:rPr>
                <w:rFonts w:ascii="仿宋_GB2312" w:hAnsi="宋体" w:eastAsia="仿宋_GB2312" w:cs="宋体"/>
                <w:b/>
                <w:kern w:val="0"/>
                <w:sz w:val="24"/>
              </w:rPr>
            </w:pPr>
            <w:r>
              <w:rPr>
                <w:rFonts w:hint="eastAsia" w:ascii="仿宋_GB2312" w:hAnsi="宋体" w:eastAsia="仿宋_GB2312" w:cs="宋体"/>
                <w:b/>
                <w:kern w:val="0"/>
                <w:sz w:val="24"/>
              </w:rPr>
              <w:t>需求名称：地铁浮置道床主动智能隔振装置开发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45" w:type="dxa"/>
            <w:gridSpan w:val="4"/>
            <w:tcBorders>
              <w:left w:val="single" w:color="auto" w:sz="4" w:space="0"/>
              <w:bottom w:val="single" w:color="auto" w:sz="4" w:space="0"/>
              <w:right w:val="single" w:color="auto" w:sz="4" w:space="0"/>
            </w:tcBorders>
            <w:vAlign w:val="center"/>
          </w:tcPr>
          <w:p>
            <w:pPr>
              <w:rPr>
                <w:rFonts w:ascii="仿宋_GB2312" w:hAnsi="宋体" w:eastAsia="仿宋_GB2312" w:cs="宋体"/>
                <w:b/>
                <w:kern w:val="0"/>
                <w:sz w:val="24"/>
              </w:rPr>
            </w:pPr>
            <w:r>
              <w:rPr>
                <w:rFonts w:hint="eastAsia" w:ascii="仿宋_GB2312" w:hAnsi="宋体" w:eastAsia="仿宋_GB2312" w:cs="宋体"/>
                <w:b/>
                <w:kern w:val="0"/>
                <w:sz w:val="24"/>
              </w:rPr>
              <w:t>行业领域：轨道交通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技术需求名称：地铁浮置道床主动智能隔振装置开发</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为解决轨道交通运营过程中的振动问题，目前普遍采取被动隔振技术进行隔振，但因为被动隔振本身的固有特点，其隔振性能达到瓶颈。因此，需要对隔振产品进行升级换代。</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本技术关键是对适用于城市轨道交通的新一代主动智能隔振装置进行开发。该隔振装置可根据轨道振动频率、地铁载重及运行速度，实时调整振动输出，降低地铁振动，并且要尽量少的消耗能源。</w:t>
            </w: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主要技术：给出合理有效的隔振装置设计方案，以及控制系统的控制策略及装置。其隔振效果比钢弹簧浮置板提高10db以上，使用寿命及可靠性达到钢弹簧浮置板的标准。</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条件：针对3.6m预制短板，进行主动智能隔振器减振性能的激振试验。</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成熟度：产品能够达到推向市场的程度。</w:t>
            </w:r>
          </w:p>
          <w:p>
            <w:pPr>
              <w:rPr>
                <w:rFonts w:ascii="仿宋_GB2312" w:hAnsi="宋体" w:eastAsia="仿宋_GB2312" w:cs="宋体"/>
                <w:sz w:val="24"/>
              </w:rPr>
            </w:pPr>
          </w:p>
          <w:p>
            <w:pPr>
              <w:rPr>
                <w:rFonts w:ascii="Times New Roman" w:hAnsi="Times New Roman" w:eastAsia="仿宋_GB2312" w:cs="Times New Roman"/>
                <w:sz w:val="24"/>
              </w:rPr>
            </w:pPr>
            <w:r>
              <w:rPr>
                <w:rFonts w:hint="eastAsia" w:ascii="仿宋_GB2312" w:hAnsi="宋体" w:eastAsia="仿宋_GB2312" w:cs="宋体"/>
                <w:sz w:val="24"/>
              </w:rPr>
              <w:t>成本指标：每套隔振装置成本控制在</w:t>
            </w:r>
            <w:r>
              <w:rPr>
                <w:rFonts w:ascii="Times New Roman" w:hAnsi="Times New Roman" w:eastAsia="仿宋_GB2312" w:cs="Times New Roman"/>
                <w:sz w:val="24"/>
              </w:rPr>
              <w:t>2000~3500</w:t>
            </w:r>
            <w:r>
              <w:rPr>
                <w:rFonts w:hint="eastAsia" w:ascii="Times New Roman" w:hAnsi="Times New Roman" w:eastAsia="仿宋_GB2312" w:cs="Times New Roman"/>
                <w:sz w:val="24"/>
              </w:rPr>
              <w:t>元。</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已经开展的工作：公司已经完成开发并投入市场阻尼钢弹簧浮置板隔振装置。</w:t>
            </w:r>
          </w:p>
          <w:p>
            <w:pPr>
              <w:rPr>
                <w:rFonts w:ascii="仿宋_GB2312" w:hAnsi="宋体" w:eastAsia="仿宋_GB2312" w:cs="宋体"/>
                <w:kern w:val="0"/>
                <w:sz w:val="24"/>
              </w:rPr>
            </w:pPr>
          </w:p>
          <w:p>
            <w:pPr>
              <w:rPr>
                <w:rFonts w:ascii="仿宋_GB2312" w:hAnsi="宋体" w:eastAsia="仿宋_GB2312" w:cs="宋体"/>
                <w:sz w:val="24"/>
              </w:rPr>
            </w:pPr>
            <w:r>
              <w:rPr>
                <w:rFonts w:hint="eastAsia" w:ascii="仿宋_GB2312" w:hAnsi="宋体" w:eastAsia="仿宋_GB2312" w:cs="宋体"/>
                <w:kern w:val="0"/>
                <w:sz w:val="24"/>
              </w:rPr>
              <w:t>所处阶段：</w:t>
            </w:r>
            <w:r>
              <w:rPr>
                <w:rFonts w:hint="eastAsia" w:ascii="仿宋_GB2312" w:hAnsi="宋体" w:eastAsia="仿宋_GB2312" w:cs="宋体"/>
                <w:sz w:val="24"/>
              </w:rPr>
              <w:t>主动智能隔振装置开发处于起步阶段。</w:t>
            </w:r>
          </w:p>
          <w:p>
            <w:pPr>
              <w:rPr>
                <w:rFonts w:ascii="仿宋_GB2312" w:hAnsi="宋体" w:eastAsia="仿宋_GB2312" w:cs="宋体"/>
                <w:sz w:val="24"/>
              </w:rPr>
            </w:pPr>
          </w:p>
          <w:p>
            <w:pPr>
              <w:rPr>
                <w:rFonts w:ascii="仿宋_GB2312" w:hAnsi="宋体" w:eastAsia="仿宋_GB2312" w:cs="宋体"/>
                <w:kern w:val="0"/>
                <w:sz w:val="24"/>
              </w:rPr>
            </w:pPr>
            <w:r>
              <w:rPr>
                <w:rFonts w:hint="eastAsia" w:ascii="仿宋_GB2312" w:hAnsi="宋体" w:eastAsia="仿宋_GB2312" w:cs="宋体"/>
                <w:sz w:val="24"/>
              </w:rPr>
              <w:t>投入资金和人力：公司投入150万元资金，组建了</w:t>
            </w:r>
            <w:r>
              <w:rPr>
                <w:rFonts w:hint="eastAsia" w:ascii="仿宋_GB2312" w:hAnsi="宋体" w:eastAsia="仿宋_GB2312" w:cs="宋体"/>
                <w:kern w:val="0"/>
                <w:sz w:val="24"/>
              </w:rPr>
              <w:t>以博士为主的“轨道交通智能隔振与应用”的10人创新团队。</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仪器设备：公司目前拥有测量振动噪声的数据采集设备、各类传感器、浮置板、各种类型隔振器等。</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生产条件：生产基地拥有制造中心数控加工车间、焊接自动生产流水线、自动包装生产线。</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公司希望与中国科学技术大学、上海交通大学、西南交通大学、重庆邮电大学等建立密切合作关系，共建创新载体。</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kern w:val="0"/>
                <w:sz w:val="24"/>
              </w:rPr>
              <w:t>是，金额2</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widowControl/>
        <w:jc w:val="left"/>
        <w:rPr>
          <w:rFonts w:ascii="仿宋_GB2312" w:eastAsia="仿宋_GB2312"/>
          <w:sz w:val="32"/>
          <w:szCs w:val="32"/>
        </w:rPr>
      </w:pPr>
    </w:p>
    <w:sectPr>
      <w:pgSz w:w="11906" w:h="16838"/>
      <w:pgMar w:top="141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118F3"/>
    <w:rsid w:val="00054794"/>
    <w:rsid w:val="0007398C"/>
    <w:rsid w:val="00075F1D"/>
    <w:rsid w:val="00082B88"/>
    <w:rsid w:val="000B0162"/>
    <w:rsid w:val="000B14FD"/>
    <w:rsid w:val="000B19D0"/>
    <w:rsid w:val="000B3EA2"/>
    <w:rsid w:val="000C49F3"/>
    <w:rsid w:val="000C649C"/>
    <w:rsid w:val="0010501B"/>
    <w:rsid w:val="00107A35"/>
    <w:rsid w:val="00107A4C"/>
    <w:rsid w:val="001140EF"/>
    <w:rsid w:val="001257A6"/>
    <w:rsid w:val="0012712C"/>
    <w:rsid w:val="0014394B"/>
    <w:rsid w:val="00152489"/>
    <w:rsid w:val="00157CB0"/>
    <w:rsid w:val="00172174"/>
    <w:rsid w:val="001755A6"/>
    <w:rsid w:val="001755FF"/>
    <w:rsid w:val="00176715"/>
    <w:rsid w:val="00185AD8"/>
    <w:rsid w:val="001A6BDB"/>
    <w:rsid w:val="001B2AB6"/>
    <w:rsid w:val="001B2BA4"/>
    <w:rsid w:val="001B4092"/>
    <w:rsid w:val="001C4D71"/>
    <w:rsid w:val="001D1257"/>
    <w:rsid w:val="001D2F2B"/>
    <w:rsid w:val="001D36D9"/>
    <w:rsid w:val="001E0D85"/>
    <w:rsid w:val="001E55CF"/>
    <w:rsid w:val="001F0DAF"/>
    <w:rsid w:val="001F41E1"/>
    <w:rsid w:val="00212BA9"/>
    <w:rsid w:val="00216BA6"/>
    <w:rsid w:val="00226CB4"/>
    <w:rsid w:val="00254D0F"/>
    <w:rsid w:val="002618B6"/>
    <w:rsid w:val="002757A3"/>
    <w:rsid w:val="00281803"/>
    <w:rsid w:val="0028555B"/>
    <w:rsid w:val="00286FFA"/>
    <w:rsid w:val="002A4DFC"/>
    <w:rsid w:val="002A5968"/>
    <w:rsid w:val="002B6A6A"/>
    <w:rsid w:val="002C2586"/>
    <w:rsid w:val="002D11B6"/>
    <w:rsid w:val="002D181A"/>
    <w:rsid w:val="002D3060"/>
    <w:rsid w:val="002E60DF"/>
    <w:rsid w:val="002F3F38"/>
    <w:rsid w:val="00304C0F"/>
    <w:rsid w:val="0031027C"/>
    <w:rsid w:val="0031240A"/>
    <w:rsid w:val="003125F0"/>
    <w:rsid w:val="00313015"/>
    <w:rsid w:val="0031593A"/>
    <w:rsid w:val="003209CE"/>
    <w:rsid w:val="0032266A"/>
    <w:rsid w:val="003478CB"/>
    <w:rsid w:val="00347AD6"/>
    <w:rsid w:val="00364D8D"/>
    <w:rsid w:val="00372340"/>
    <w:rsid w:val="00393715"/>
    <w:rsid w:val="003A67EC"/>
    <w:rsid w:val="003B192A"/>
    <w:rsid w:val="003B3135"/>
    <w:rsid w:val="003D3E2D"/>
    <w:rsid w:val="003E20D4"/>
    <w:rsid w:val="003F0571"/>
    <w:rsid w:val="003F1706"/>
    <w:rsid w:val="003F5006"/>
    <w:rsid w:val="004029F7"/>
    <w:rsid w:val="00402AEA"/>
    <w:rsid w:val="00403D05"/>
    <w:rsid w:val="00412816"/>
    <w:rsid w:val="00413A16"/>
    <w:rsid w:val="00443AF2"/>
    <w:rsid w:val="00472A8D"/>
    <w:rsid w:val="00475D2F"/>
    <w:rsid w:val="00485958"/>
    <w:rsid w:val="00496076"/>
    <w:rsid w:val="004A2CAC"/>
    <w:rsid w:val="004C18DD"/>
    <w:rsid w:val="004C213F"/>
    <w:rsid w:val="004D56DF"/>
    <w:rsid w:val="004D58DE"/>
    <w:rsid w:val="004E0091"/>
    <w:rsid w:val="004F1100"/>
    <w:rsid w:val="004F587A"/>
    <w:rsid w:val="004F6E4E"/>
    <w:rsid w:val="005023B2"/>
    <w:rsid w:val="00510D57"/>
    <w:rsid w:val="00510F09"/>
    <w:rsid w:val="00516136"/>
    <w:rsid w:val="00537627"/>
    <w:rsid w:val="00540705"/>
    <w:rsid w:val="00563CDE"/>
    <w:rsid w:val="00564CD6"/>
    <w:rsid w:val="00570776"/>
    <w:rsid w:val="00586E4F"/>
    <w:rsid w:val="00595143"/>
    <w:rsid w:val="005B072D"/>
    <w:rsid w:val="005B074F"/>
    <w:rsid w:val="005C5C93"/>
    <w:rsid w:val="005F0C12"/>
    <w:rsid w:val="005F0E28"/>
    <w:rsid w:val="005F40BF"/>
    <w:rsid w:val="005F429C"/>
    <w:rsid w:val="00600BD1"/>
    <w:rsid w:val="00610651"/>
    <w:rsid w:val="00621158"/>
    <w:rsid w:val="006218F4"/>
    <w:rsid w:val="00621E42"/>
    <w:rsid w:val="00627574"/>
    <w:rsid w:val="00635119"/>
    <w:rsid w:val="00641286"/>
    <w:rsid w:val="006425F8"/>
    <w:rsid w:val="00654BCB"/>
    <w:rsid w:val="00662CC0"/>
    <w:rsid w:val="006724A1"/>
    <w:rsid w:val="00672B23"/>
    <w:rsid w:val="00681526"/>
    <w:rsid w:val="00692E56"/>
    <w:rsid w:val="0069301E"/>
    <w:rsid w:val="00697416"/>
    <w:rsid w:val="006A5ADE"/>
    <w:rsid w:val="006B2295"/>
    <w:rsid w:val="006C3F36"/>
    <w:rsid w:val="006D4F27"/>
    <w:rsid w:val="006E3A77"/>
    <w:rsid w:val="006F2E0C"/>
    <w:rsid w:val="00701C78"/>
    <w:rsid w:val="00737E60"/>
    <w:rsid w:val="0074564A"/>
    <w:rsid w:val="007474F9"/>
    <w:rsid w:val="00751427"/>
    <w:rsid w:val="00762D21"/>
    <w:rsid w:val="00777177"/>
    <w:rsid w:val="00780F6D"/>
    <w:rsid w:val="0078363D"/>
    <w:rsid w:val="007921CC"/>
    <w:rsid w:val="007A034D"/>
    <w:rsid w:val="007A127A"/>
    <w:rsid w:val="007A27FA"/>
    <w:rsid w:val="007A3629"/>
    <w:rsid w:val="007A4F33"/>
    <w:rsid w:val="007C2845"/>
    <w:rsid w:val="007C7EA3"/>
    <w:rsid w:val="007F01F2"/>
    <w:rsid w:val="007F01FF"/>
    <w:rsid w:val="007F0A41"/>
    <w:rsid w:val="008050AF"/>
    <w:rsid w:val="0081317F"/>
    <w:rsid w:val="00841738"/>
    <w:rsid w:val="0085165A"/>
    <w:rsid w:val="00851D18"/>
    <w:rsid w:val="00852D22"/>
    <w:rsid w:val="008561A2"/>
    <w:rsid w:val="00871BC2"/>
    <w:rsid w:val="0087450B"/>
    <w:rsid w:val="008837EF"/>
    <w:rsid w:val="00883E98"/>
    <w:rsid w:val="00896A3A"/>
    <w:rsid w:val="008A1702"/>
    <w:rsid w:val="008A39BF"/>
    <w:rsid w:val="008A5848"/>
    <w:rsid w:val="008A74D7"/>
    <w:rsid w:val="008B790E"/>
    <w:rsid w:val="008C69CA"/>
    <w:rsid w:val="008C76C4"/>
    <w:rsid w:val="008F197E"/>
    <w:rsid w:val="008F2B88"/>
    <w:rsid w:val="00913187"/>
    <w:rsid w:val="00922B1E"/>
    <w:rsid w:val="009307F2"/>
    <w:rsid w:val="00937BA2"/>
    <w:rsid w:val="00953B71"/>
    <w:rsid w:val="0096107C"/>
    <w:rsid w:val="009741CC"/>
    <w:rsid w:val="00975A1F"/>
    <w:rsid w:val="009914CF"/>
    <w:rsid w:val="009B3B61"/>
    <w:rsid w:val="009B5F4D"/>
    <w:rsid w:val="009C022C"/>
    <w:rsid w:val="009D7017"/>
    <w:rsid w:val="009E1A6C"/>
    <w:rsid w:val="009F7DAF"/>
    <w:rsid w:val="00A17EB9"/>
    <w:rsid w:val="00A2022C"/>
    <w:rsid w:val="00A20C56"/>
    <w:rsid w:val="00A25BB9"/>
    <w:rsid w:val="00A432CD"/>
    <w:rsid w:val="00A4364A"/>
    <w:rsid w:val="00A53651"/>
    <w:rsid w:val="00A571FF"/>
    <w:rsid w:val="00A60278"/>
    <w:rsid w:val="00A81017"/>
    <w:rsid w:val="00AB072E"/>
    <w:rsid w:val="00AE123F"/>
    <w:rsid w:val="00B24F8A"/>
    <w:rsid w:val="00B34921"/>
    <w:rsid w:val="00B53B6C"/>
    <w:rsid w:val="00B55132"/>
    <w:rsid w:val="00B57CFD"/>
    <w:rsid w:val="00B80D0C"/>
    <w:rsid w:val="00B94DB4"/>
    <w:rsid w:val="00B95D29"/>
    <w:rsid w:val="00BB3CD8"/>
    <w:rsid w:val="00BC0486"/>
    <w:rsid w:val="00BC6700"/>
    <w:rsid w:val="00BD59A5"/>
    <w:rsid w:val="00BE3A83"/>
    <w:rsid w:val="00C035F5"/>
    <w:rsid w:val="00C15375"/>
    <w:rsid w:val="00C228BC"/>
    <w:rsid w:val="00C3220F"/>
    <w:rsid w:val="00C3498A"/>
    <w:rsid w:val="00C36864"/>
    <w:rsid w:val="00C41ED8"/>
    <w:rsid w:val="00C47A78"/>
    <w:rsid w:val="00C621F6"/>
    <w:rsid w:val="00C653F5"/>
    <w:rsid w:val="00C82928"/>
    <w:rsid w:val="00CC08E8"/>
    <w:rsid w:val="00CC33D7"/>
    <w:rsid w:val="00CC7C02"/>
    <w:rsid w:val="00CD1FA9"/>
    <w:rsid w:val="00CD2BDF"/>
    <w:rsid w:val="00CF0E9A"/>
    <w:rsid w:val="00D37771"/>
    <w:rsid w:val="00D47352"/>
    <w:rsid w:val="00D75331"/>
    <w:rsid w:val="00D8576C"/>
    <w:rsid w:val="00D860B0"/>
    <w:rsid w:val="00DB116F"/>
    <w:rsid w:val="00DB4E1A"/>
    <w:rsid w:val="00DB5988"/>
    <w:rsid w:val="00DD0129"/>
    <w:rsid w:val="00DD3CC2"/>
    <w:rsid w:val="00DD593D"/>
    <w:rsid w:val="00E01813"/>
    <w:rsid w:val="00E03D95"/>
    <w:rsid w:val="00E1570B"/>
    <w:rsid w:val="00E16458"/>
    <w:rsid w:val="00E50B3C"/>
    <w:rsid w:val="00E6193C"/>
    <w:rsid w:val="00E62079"/>
    <w:rsid w:val="00E63F04"/>
    <w:rsid w:val="00E66467"/>
    <w:rsid w:val="00E77464"/>
    <w:rsid w:val="00E80559"/>
    <w:rsid w:val="00E87F7E"/>
    <w:rsid w:val="00E91456"/>
    <w:rsid w:val="00E95A1D"/>
    <w:rsid w:val="00EA4CD4"/>
    <w:rsid w:val="00EB2743"/>
    <w:rsid w:val="00ED0461"/>
    <w:rsid w:val="00ED72A4"/>
    <w:rsid w:val="00EF1B48"/>
    <w:rsid w:val="00EF35DC"/>
    <w:rsid w:val="00EF5D82"/>
    <w:rsid w:val="00F10694"/>
    <w:rsid w:val="00F130C9"/>
    <w:rsid w:val="00F5304C"/>
    <w:rsid w:val="00F80007"/>
    <w:rsid w:val="00F80644"/>
    <w:rsid w:val="00F808A7"/>
    <w:rsid w:val="00F9758E"/>
    <w:rsid w:val="00FA2736"/>
    <w:rsid w:val="00FC206C"/>
    <w:rsid w:val="11064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qFormat/>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qFormat/>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7C988-DC49-4591-B63C-27B75E78E435}">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1070</Characters>
  <Lines>8</Lines>
  <Paragraphs>2</Paragraphs>
  <TotalTime>0</TotalTime>
  <ScaleCrop>false</ScaleCrop>
  <LinksUpToDate>false</LinksUpToDate>
  <CharactersWithSpaces>1255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2018-08-06T10:10:00Z</dcterms:created>
  <dc:creator>lenove</dc:creator>
  <cp:lastModifiedBy>善解人意</cp:lastModifiedBy>
  <cp:lastPrinted>2017-11-03T02:36:00Z</cp:lastPrinted>
  <dcterms:modified xsi:type="dcterms:W3CDTF">2018-08-12T10:16:33Z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