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738"/>
        <w:gridCol w:w="1158"/>
        <w:gridCol w:w="864"/>
        <w:gridCol w:w="441"/>
        <w:gridCol w:w="758"/>
        <w:gridCol w:w="17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84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企业名称</w:t>
            </w:r>
          </w:p>
        </w:tc>
        <w:tc>
          <w:tcPr>
            <w:tcW w:w="3760" w:type="dxa"/>
            <w:gridSpan w:val="3"/>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 xml:space="preserve"> 昆山和智电气设备有限公司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left"/>
              <w:rPr>
                <w:kern w:val="0"/>
                <w:sz w:val="24"/>
              </w:rPr>
            </w:pPr>
            <w:r>
              <w:rPr>
                <w:rFonts w:hint="eastAsia"/>
                <w:kern w:val="0"/>
                <w:sz w:val="24"/>
              </w:rPr>
              <w:t>91320583573781764C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区    域</w:t>
            </w:r>
          </w:p>
        </w:tc>
        <w:tc>
          <w:tcPr>
            <w:tcW w:w="1738"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周庄镇</w:t>
            </w:r>
          </w:p>
        </w:tc>
        <w:tc>
          <w:tcPr>
            <w:tcW w:w="1158"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联系人</w:t>
            </w:r>
          </w:p>
        </w:tc>
        <w:tc>
          <w:tcPr>
            <w:tcW w:w="1305" w:type="dxa"/>
            <w:gridSpan w:val="2"/>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郑丽婉</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电话</w:t>
            </w:r>
          </w:p>
        </w:tc>
        <w:tc>
          <w:tcPr>
            <w:tcW w:w="1769" w:type="dxa"/>
            <w:tcBorders>
              <w:top w:val="single" w:color="auto" w:sz="4" w:space="0"/>
              <w:left w:val="nil"/>
              <w:bottom w:val="single" w:color="auto" w:sz="4" w:space="0"/>
              <w:right w:val="single" w:color="auto" w:sz="4" w:space="0"/>
            </w:tcBorders>
            <w:vAlign w:val="center"/>
          </w:tcPr>
          <w:p>
            <w:pPr>
              <w:ind w:firstLine="0" w:firstLineChars="0"/>
              <w:jc w:val="left"/>
              <w:rPr>
                <w:kern w:val="0"/>
                <w:sz w:val="24"/>
              </w:rPr>
            </w:pPr>
            <w:r>
              <w:rPr>
                <w:rFonts w:hint="eastAsia"/>
                <w:kern w:val="0"/>
                <w:sz w:val="24"/>
              </w:rPr>
              <w:t>18017229453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行业领域</w:t>
            </w:r>
          </w:p>
        </w:tc>
        <w:tc>
          <w:tcPr>
            <w:tcW w:w="3760"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智能电网</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left"/>
              <w:rPr>
                <w:kern w:val="0"/>
                <w:sz w:val="24"/>
              </w:rPr>
            </w:pPr>
            <w:r>
              <w:rPr>
                <w:rFonts w:hint="eastAsia"/>
                <w:kern w:val="0"/>
                <w:sz w:val="24"/>
              </w:rPr>
              <w:t>新技术改造传统行业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经济规模</w:t>
            </w:r>
          </w:p>
        </w:tc>
        <w:tc>
          <w:tcPr>
            <w:tcW w:w="3760"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年销售额1000万以下</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15-20人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tcPr>
          <w:p>
            <w:pPr>
              <w:ind w:firstLine="0" w:firstLineChars="0"/>
              <w:rPr>
                <w:rFonts w:cs="宋体"/>
                <w:b/>
                <w:bCs/>
                <w:sz w:val="24"/>
              </w:rPr>
            </w:pPr>
            <w:r>
              <w:rPr>
                <w:rFonts w:hint="eastAsia" w:ascii="仿宋_GB2312" w:hAnsi="宋体" w:cs="宋体"/>
                <w:kern w:val="0"/>
                <w:sz w:val="24"/>
              </w:rPr>
              <w:t>光声光谱对低浓度分子量较小气体氢气的检测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r>
              <w:rPr>
                <w:rFonts w:hint="eastAsia" w:ascii="仿宋_GB2312" w:hAnsi="宋体" w:cs="宋体"/>
                <w:kern w:val="0"/>
                <w:sz w:val="24"/>
              </w:rPr>
              <w:t>光声光谱对低浓度分子量较小气体氢气的检测</w:t>
            </w: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p>
          <w:p>
            <w:pPr>
              <w:ind w:firstLine="480"/>
              <w:rPr>
                <w:rFonts w:ascii="仿宋_GB2312" w:hAnsi="宋体" w:cs="宋体"/>
                <w:sz w:val="24"/>
              </w:rPr>
            </w:pPr>
            <w:r>
              <w:rPr>
                <w:rFonts w:hint="eastAsia" w:ascii="仿宋_GB2312" w:hAnsi="宋体" w:cs="宋体"/>
                <w:sz w:val="24"/>
              </w:rPr>
              <w:t>光声光谱测量的是样品吸收光能的大小，氢原子光谱是氢原子内的电子在不同能级跃迁时发射或吸收不同频率 的光子形成的光谱，氢原子光谱为不连续的线光谱，其波长比较短，不易检测。</w:t>
            </w:r>
          </w:p>
          <w:p>
            <w:pPr>
              <w:ind w:firstLine="480"/>
              <w:rPr>
                <w:rFonts w:cs="宋体"/>
                <w:sz w:val="24"/>
              </w:rPr>
            </w:pPr>
            <w:r>
              <w:rPr>
                <w:rFonts w:hint="eastAsia" w:ascii="仿宋_GB2312" w:hAnsi="宋体" w:cs="宋体"/>
                <w:sz w:val="24"/>
              </w:rPr>
              <w:t>在不改变现有的光声光谱的检测装置的情况下，希望通过加装滤光片和算法来测量低浓度分子量较小的氢气（灵敏度1ppm）。</w:t>
            </w: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（企业已经开展的工作、所处阶段、投入资金和人力、仪器设备、生产条件等）</w:t>
            </w:r>
          </w:p>
          <w:p>
            <w:pPr>
              <w:ind w:firstLine="480" w:firstLineChars="0"/>
              <w:rPr>
                <w:rFonts w:cs="宋体"/>
                <w:sz w:val="24"/>
              </w:rPr>
            </w:pPr>
          </w:p>
          <w:p>
            <w:pPr>
              <w:ind w:firstLine="480" w:firstLineChars="0"/>
              <w:rPr>
                <w:rFonts w:cs="宋体"/>
                <w:sz w:val="24"/>
              </w:rPr>
            </w:pPr>
          </w:p>
          <w:p>
            <w:pPr>
              <w:ind w:firstLine="480" w:firstLineChars="0"/>
              <w:rPr>
                <w:rFonts w:cs="宋体"/>
                <w:sz w:val="24"/>
              </w:rPr>
            </w:pPr>
            <w:r>
              <w:rPr>
                <w:rFonts w:hint="eastAsia" w:cs="宋体"/>
                <w:sz w:val="24"/>
              </w:rPr>
              <w:t>公司现在定期开展研讨会，研发人员不断创新，对产品进行升级做前期的工作，员工也在积极查阅大量资料，做好理论工作，部分辅助硬件已经转交给生产部门生产。</w:t>
            </w:r>
          </w:p>
          <w:p>
            <w:pPr>
              <w:ind w:firstLine="480" w:firstLineChars="0"/>
              <w:rPr>
                <w:rFonts w:cs="宋体"/>
                <w:sz w:val="24"/>
              </w:rPr>
            </w:pPr>
            <w:r>
              <w:rPr>
                <w:rFonts w:hint="eastAsia" w:cs="宋体"/>
                <w:sz w:val="24"/>
              </w:rPr>
              <w:t>研发和生产共7人，主要以研发为主。</w:t>
            </w:r>
          </w:p>
          <w:p>
            <w:pPr>
              <w:ind w:firstLine="480" w:firstLineChars="0"/>
              <w:rPr>
                <w:rFonts w:cs="宋体"/>
                <w:kern w:val="0"/>
                <w:sz w:val="24"/>
              </w:rPr>
            </w:pPr>
            <w:r>
              <w:rPr>
                <w:rFonts w:hint="eastAsia" w:cs="宋体"/>
                <w:sz w:val="24"/>
              </w:rPr>
              <w:t>公司现有设备：1、台式机10台。2、笔记本20台。3、示波器1台。4、焊接台5套。5、离线色谱仪1套。6、变压器油气混合装置3套。</w:t>
            </w: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480"/>
              <w:rPr>
                <w:rFonts w:ascii="仿宋_GB2312" w:hAnsi="宋体" w:cs="宋体"/>
                <w:sz w:val="24"/>
              </w:rPr>
            </w:pPr>
            <w:r>
              <w:rPr>
                <w:rFonts w:hint="eastAsia" w:cs="宋体"/>
                <w:sz w:val="24"/>
              </w:rPr>
              <w:t>（</w:t>
            </w:r>
            <w:r>
              <w:rPr>
                <w:rFonts w:hint="eastAsia" w:ascii="仿宋_GB2312" w:hAnsi="宋体" w:cs="宋体"/>
                <w:sz w:val="24"/>
              </w:rPr>
              <w:t>希望与哪类高校、科研院所开展产学研合作，以及对专家及团队所属领域和水平的要求）</w:t>
            </w:r>
          </w:p>
          <w:p>
            <w:pPr>
              <w:ind w:firstLine="0" w:firstLineChars="0"/>
              <w:rPr>
                <w:rFonts w:cs="宋体"/>
                <w:sz w:val="24"/>
              </w:rPr>
            </w:pPr>
          </w:p>
          <w:p>
            <w:pPr>
              <w:ind w:firstLine="0" w:firstLineChars="0"/>
              <w:rPr>
                <w:rFonts w:cs="宋体"/>
                <w:sz w:val="24"/>
              </w:rPr>
            </w:pPr>
          </w:p>
          <w:p>
            <w:pPr>
              <w:ind w:firstLine="480"/>
              <w:rPr>
                <w:rFonts w:cs="宋体"/>
                <w:sz w:val="24"/>
              </w:rPr>
            </w:pPr>
            <w:r>
              <w:rPr>
                <w:rFonts w:hint="eastAsia" w:ascii="仿宋_GB2312" w:hAnsi="宋体" w:cs="宋体"/>
                <w:sz w:val="24"/>
              </w:rPr>
              <w:t>上海交通大学电气专业</w:t>
            </w: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r>
              <w:rPr>
                <w:rFonts w:hint="eastAsia" w:ascii="Times New Roman" w:hAnsi="Times New Roman"/>
                <w:sz w:val="24"/>
                <w:szCs w:val="24"/>
                <w:u w:val="single"/>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r>
              <w:rPr>
                <w:rFonts w:hint="eastAsia"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u w:val="single"/>
              </w:rPr>
              <w:t xml:space="preserve">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法人代表：王志浩     2018年08月08日</w:t>
            </w:r>
          </w:p>
        </w:tc>
      </w:tr>
    </w:tbl>
    <w:p>
      <w:r>
        <w:rPr>
          <w:rFonts w:hint="eastAsia" w:ascii="仿宋_GB2312" w:hAnsi="仿宋_GB2312" w:cs="仿宋_GB2312"/>
          <w:b/>
          <w:bCs/>
          <w:szCs w:val="32"/>
        </w:rPr>
        <w:t>※</w:t>
      </w:r>
      <w:r>
        <w:rPr>
          <w:rFonts w:hint="eastAsia"/>
          <w:b/>
          <w:bCs/>
          <w:szCs w:val="32"/>
        </w:rPr>
        <w:t>请务必确认“同意公开需求信息”一栏填“是”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270FB"/>
    <w:rsid w:val="1BF270FB"/>
    <w:rsid w:val="26A50BB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2018-08-10T08:12:00Z</dcterms:created>
  <dc:creator>三千1404173486</dc:creator>
  <cp:lastModifiedBy>张明星</cp:lastModifiedBy>
  <dcterms:modified xsi:type="dcterms:W3CDTF">2018-08-14T04:21:35Z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