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319"/>
        <w:gridCol w:w="1293"/>
        <w:gridCol w:w="864"/>
        <w:gridCol w:w="600"/>
        <w:gridCol w:w="599"/>
        <w:gridCol w:w="349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ascii="仿宋_GB2312" w:cs="Times New Roman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cs="Times New Roman"/>
                <w:kern w:val="0"/>
                <w:sz w:val="24"/>
              </w:rPr>
              <w:t>昆山盛事达机械有限公司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91320583MA1NRE9W46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区域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cs="Times New Roman"/>
                <w:kern w:val="0"/>
                <w:sz w:val="24"/>
              </w:rPr>
              <w:t>千灯镇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 w:ascii="仿宋_GB2312" w:cs="Times New Roman"/>
                <w:kern w:val="0"/>
                <w:sz w:val="24"/>
              </w:rPr>
              <w:t>朱义兵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cs="Times New Roman"/>
                <w:kern w:val="0"/>
                <w:sz w:val="24"/>
              </w:rPr>
              <w:t>13451776939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先进制造与自动化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机电一体化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适用于铝合金半固态注射成型用螺杆及料筒材料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cs="宋体"/>
                <w:sz w:val="24"/>
              </w:rPr>
              <w:t>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耐高温材料（使用温度不低于630度）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对</w:t>
            </w:r>
            <w:r>
              <w:rPr>
                <w:rFonts w:ascii="仿宋_GB2312" w:hAnsi="宋体" w:eastAsia="仿宋_GB2312"/>
                <w:sz w:val="24"/>
              </w:rPr>
              <w:t>半固态</w:t>
            </w:r>
            <w:r>
              <w:rPr>
                <w:rFonts w:hint="eastAsia" w:ascii="仿宋_GB2312" w:hAnsi="宋体" w:eastAsia="仿宋_GB2312"/>
                <w:sz w:val="24"/>
              </w:rPr>
              <w:t>铝合金具有很好的高温耐腐蚀性能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螺杆寿命不能低于5万模次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cs="宋体"/>
                <w:sz w:val="24"/>
              </w:rPr>
              <w:t xml:space="preserve">技术转让    □技术入股   □联合开发   □委托研发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7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7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□产品/服务市场占有率分析  □市场前景分析 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Times New Roman" w:hAnsi="Times New Roman"/>
                <w:sz w:val="24"/>
                <w:szCs w:val="24"/>
              </w:rPr>
              <w:t>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B7E"/>
    <w:multiLevelType w:val="multilevel"/>
    <w:tmpl w:val="04347B7E"/>
    <w:lvl w:ilvl="0" w:tentative="0">
      <w:start w:val="1"/>
      <w:numFmt w:val="decimal"/>
      <w:lvlText w:val="%1）"/>
      <w:lvlJc w:val="left"/>
      <w:pPr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842E2"/>
    <w:rsid w:val="11571CE0"/>
    <w:rsid w:val="146842E2"/>
    <w:rsid w:val="38091EF2"/>
    <w:rsid w:val="6D535020"/>
    <w:rsid w:val="757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styleId="6">
    <w:name w:val="List Paragraph"/>
    <w:basedOn w:val="1"/>
    <w:qFormat/>
    <w:uiPriority w:val="34"/>
    <w:pPr>
      <w:ind w:firstLine="420"/>
    </w:pPr>
    <w:rPr>
      <w:rFonts w:asciiTheme="minorHAnsi" w:hAnsiTheme="minorHAnsi" w:eastAsiaTheme="minorEastAsia"/>
      <w:sz w:val="21"/>
      <w:szCs w:val="22"/>
    </w:rPr>
  </w:style>
  <w:style w:type="paragraph" w:customStyle="1" w:styleId="7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2018-08-10T08:46:00Z</dcterms:created>
  <dc:creator>三千1404173486</dc:creator>
  <cp:lastModifiedBy>张明星</cp:lastModifiedBy>
  <dcterms:modified xsi:type="dcterms:W3CDTF">2018-08-14T04:11:20Z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