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技术创新需求调查表</w:t>
      </w:r>
    </w:p>
    <w:tbl>
      <w:tblPr>
        <w:tblStyle w:val="5"/>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9"/>
        <w:gridCol w:w="1060"/>
        <w:gridCol w:w="155"/>
        <w:gridCol w:w="284"/>
        <w:gridCol w:w="1454"/>
        <w:gridCol w:w="1204"/>
        <w:gridCol w:w="818"/>
        <w:gridCol w:w="600"/>
        <w:gridCol w:w="599"/>
        <w:gridCol w:w="393"/>
        <w:gridCol w:w="15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企业信息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2128"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企业名称</w:t>
            </w:r>
          </w:p>
        </w:tc>
        <w:tc>
          <w:tcPr>
            <w:tcW w:w="2658" w:type="dxa"/>
            <w:gridSpan w:val="2"/>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昆山吉海实业公司</w:t>
            </w:r>
          </w:p>
        </w:tc>
        <w:tc>
          <w:tcPr>
            <w:tcW w:w="1418"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机构代码</w:t>
            </w:r>
          </w:p>
        </w:tc>
        <w:tc>
          <w:tcPr>
            <w:tcW w:w="2541"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91320583251247307M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8"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区    域</w:t>
            </w:r>
          </w:p>
        </w:tc>
        <w:tc>
          <w:tcPr>
            <w:tcW w:w="1454"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苏州昆山</w:t>
            </w:r>
          </w:p>
        </w:tc>
        <w:tc>
          <w:tcPr>
            <w:tcW w:w="1204" w:type="dxa"/>
            <w:tcBorders>
              <w:top w:val="single" w:color="auto" w:sz="4" w:space="0"/>
              <w:left w:val="nil"/>
              <w:bottom w:val="single" w:color="auto" w:sz="4" w:space="0"/>
              <w:right w:val="single" w:color="auto" w:sz="4" w:space="0"/>
            </w:tcBorders>
            <w:vAlign w:val="center"/>
          </w:tcPr>
          <w:p>
            <w:pPr>
              <w:ind w:firstLine="0" w:firstLineChars="0"/>
              <w:rPr>
                <w:kern w:val="0"/>
                <w:sz w:val="24"/>
              </w:rPr>
            </w:pPr>
            <w:r>
              <w:rPr>
                <w:rFonts w:hint="eastAsia"/>
                <w:kern w:val="0"/>
                <w:sz w:val="24"/>
              </w:rPr>
              <w:t>联系人</w:t>
            </w:r>
          </w:p>
        </w:tc>
        <w:tc>
          <w:tcPr>
            <w:tcW w:w="1418"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韩成芳</w:t>
            </w:r>
          </w:p>
        </w:tc>
        <w:tc>
          <w:tcPr>
            <w:tcW w:w="992"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电话</w:t>
            </w:r>
          </w:p>
        </w:tc>
        <w:tc>
          <w:tcPr>
            <w:tcW w:w="1549" w:type="dxa"/>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18913265038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8"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行业领域</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集装箱系固装置领域</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产业领域</w:t>
            </w:r>
          </w:p>
        </w:tc>
        <w:tc>
          <w:tcPr>
            <w:tcW w:w="1942"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制造业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28" w:type="dxa"/>
            <w:gridSpan w:val="4"/>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经济规模</w:t>
            </w:r>
          </w:p>
        </w:tc>
        <w:tc>
          <w:tcPr>
            <w:tcW w:w="3476" w:type="dxa"/>
            <w:gridSpan w:val="3"/>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小   型</w:t>
            </w:r>
          </w:p>
        </w:tc>
        <w:tc>
          <w:tcPr>
            <w:tcW w:w="119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kern w:val="0"/>
                <w:sz w:val="24"/>
              </w:rPr>
            </w:pPr>
            <w:r>
              <w:rPr>
                <w:rFonts w:hint="eastAsia"/>
                <w:kern w:val="0"/>
                <w:sz w:val="24"/>
              </w:rPr>
              <w:t>人员规模</w:t>
            </w:r>
          </w:p>
        </w:tc>
        <w:tc>
          <w:tcPr>
            <w:tcW w:w="1942" w:type="dxa"/>
            <w:gridSpan w:val="2"/>
            <w:tcBorders>
              <w:top w:val="single" w:color="auto" w:sz="4" w:space="0"/>
              <w:left w:val="nil"/>
              <w:bottom w:val="single" w:color="auto" w:sz="4" w:space="0"/>
              <w:right w:val="single" w:color="auto" w:sz="4" w:space="0"/>
            </w:tcBorders>
            <w:vAlign w:val="center"/>
          </w:tcPr>
          <w:p>
            <w:pPr>
              <w:ind w:firstLine="0" w:firstLineChars="0"/>
              <w:jc w:val="center"/>
              <w:rPr>
                <w:kern w:val="0"/>
                <w:sz w:val="24"/>
              </w:rPr>
            </w:pPr>
            <w:r>
              <w:rPr>
                <w:rFonts w:hint="eastAsia"/>
                <w:kern w:val="0"/>
                <w:sz w:val="24"/>
              </w:rPr>
              <w:t>53人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44" w:type="dxa"/>
            <w:gridSpan w:val="3"/>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sz w:val="24"/>
              </w:rPr>
              <w:t>需求名称</w:t>
            </w:r>
          </w:p>
        </w:tc>
        <w:tc>
          <w:tcPr>
            <w:tcW w:w="6901" w:type="dxa"/>
            <w:gridSpan w:val="8"/>
            <w:tcBorders>
              <w:top w:val="single" w:color="auto" w:sz="4" w:space="0"/>
              <w:left w:val="single" w:color="auto" w:sz="4" w:space="0"/>
              <w:bottom w:val="single" w:color="auto" w:sz="4" w:space="0"/>
              <w:right w:val="single" w:color="auto" w:sz="4" w:space="0"/>
            </w:tcBorders>
          </w:tcPr>
          <w:p>
            <w:pPr>
              <w:ind w:firstLine="0" w:firstLineChars="0"/>
              <w:jc w:val="center"/>
              <w:rPr>
                <w:rFonts w:cs="宋体"/>
                <w:b/>
                <w:bCs/>
                <w:sz w:val="24"/>
              </w:rPr>
            </w:pPr>
            <w:r>
              <w:rPr>
                <w:rFonts w:hint="eastAsia" w:cs="宋体"/>
                <w:kern w:val="0"/>
                <w:sz w:val="24"/>
              </w:rPr>
              <w:t>智能全自动锁技术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29" w:type="dxa"/>
            <w:vMerge w:val="restart"/>
            <w:tcBorders>
              <w:top w:val="single" w:color="auto" w:sz="4" w:space="0"/>
              <w:left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技术需</w:t>
            </w:r>
          </w:p>
          <w:p>
            <w:pPr>
              <w:ind w:firstLine="0" w:firstLineChars="0"/>
              <w:jc w:val="center"/>
              <w:rPr>
                <w:rFonts w:cs="宋体"/>
                <w:kern w:val="0"/>
                <w:sz w:val="24"/>
              </w:rPr>
            </w:pPr>
            <w:r>
              <w:rPr>
                <w:rFonts w:hint="eastAsia" w:cs="宋体"/>
                <w:kern w:val="0"/>
                <w:sz w:val="24"/>
              </w:rPr>
              <w:t>求类别</w:t>
            </w:r>
          </w:p>
        </w:tc>
        <w:tc>
          <w:tcPr>
            <w:tcW w:w="6901"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ascii="MS Mincho" w:hAnsi="MS Mincho" w:eastAsia="MS Mincho" w:cs="MS Mincho"/>
                <w:sz w:val="24"/>
              </w:rPr>
              <w:t>☑</w:t>
            </w:r>
            <w:r>
              <w:rPr>
                <w:rFonts w:hint="eastAsia" w:cs="宋体"/>
                <w:sz w:val="24"/>
              </w:rPr>
              <w:t>技术研发（关键、核心技术）</w:t>
            </w:r>
          </w:p>
          <w:p>
            <w:pPr>
              <w:ind w:firstLine="0" w:firstLineChars="0"/>
              <w:rPr>
                <w:rFonts w:cs="宋体"/>
                <w:sz w:val="24"/>
              </w:rPr>
            </w:pPr>
            <w:r>
              <w:rPr>
                <w:rFonts w:hint="eastAsia" w:ascii="MS Mincho" w:hAnsi="MS Mincho" w:eastAsia="MS Mincho" w:cs="MS Mincho"/>
                <w:sz w:val="24"/>
              </w:rPr>
              <w:t>☑</w:t>
            </w:r>
            <w:r>
              <w:rPr>
                <w:rFonts w:hint="eastAsia" w:cs="宋体"/>
                <w:sz w:val="24"/>
              </w:rPr>
              <w:t>产品研发（产品升级、新产品研发）</w:t>
            </w:r>
          </w:p>
          <w:p>
            <w:pPr>
              <w:ind w:firstLine="0" w:firstLineChars="0"/>
              <w:rPr>
                <w:rFonts w:cs="宋体"/>
                <w:sz w:val="24"/>
              </w:rPr>
            </w:pPr>
            <w:r>
              <w:rPr>
                <w:rFonts w:hint="eastAsia" w:ascii="MS Mincho" w:hAnsi="MS Mincho" w:eastAsia="MS Mincho" w:cs="MS Mincho"/>
                <w:sz w:val="24"/>
              </w:rPr>
              <w:t>☑</w:t>
            </w:r>
            <w:r>
              <w:rPr>
                <w:rFonts w:hint="eastAsia" w:cs="宋体"/>
                <w:sz w:val="24"/>
              </w:rPr>
              <w:t>技术改造（设备、研发生产条件）</w:t>
            </w:r>
          </w:p>
          <w:p>
            <w:pPr>
              <w:ind w:firstLine="0" w:firstLineChars="0"/>
              <w:rPr>
                <w:rFonts w:cs="宋体"/>
                <w:kern w:val="0"/>
                <w:sz w:val="24"/>
              </w:rPr>
            </w:pPr>
            <w:r>
              <w:rPr>
                <w:rFonts w:hint="eastAsia"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9"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简述</w:t>
            </w:r>
          </w:p>
        </w:tc>
        <w:tc>
          <w:tcPr>
            <w:tcW w:w="6901" w:type="dxa"/>
            <w:gridSpan w:val="8"/>
            <w:tcBorders>
              <w:top w:val="single" w:color="auto" w:sz="4" w:space="0"/>
              <w:left w:val="nil"/>
              <w:bottom w:val="single" w:color="auto" w:sz="4" w:space="0"/>
              <w:right w:val="single" w:color="auto" w:sz="4" w:space="0"/>
            </w:tcBorders>
            <w:vAlign w:val="center"/>
          </w:tcPr>
          <w:p>
            <w:pPr>
              <w:ind w:firstLine="0" w:firstLineChars="0"/>
              <w:jc w:val="center"/>
              <w:rPr>
                <w:rFonts w:hint="eastAsia" w:cs="宋体"/>
                <w:kern w:val="0"/>
                <w:sz w:val="24"/>
              </w:rPr>
            </w:pPr>
          </w:p>
          <w:p>
            <w:pPr>
              <w:ind w:firstLine="0" w:firstLineChars="0"/>
              <w:jc w:val="center"/>
              <w:rPr>
                <w:rFonts w:hint="eastAsia" w:cs="宋体"/>
                <w:kern w:val="0"/>
                <w:sz w:val="24"/>
              </w:rPr>
            </w:pPr>
          </w:p>
          <w:p>
            <w:pPr>
              <w:ind w:firstLine="0" w:firstLineChars="0"/>
              <w:jc w:val="center"/>
              <w:rPr>
                <w:rFonts w:hint="eastAsia" w:cs="宋体"/>
                <w:kern w:val="0"/>
                <w:sz w:val="24"/>
              </w:rPr>
            </w:pPr>
            <w:r>
              <w:rPr>
                <w:rFonts w:hint="eastAsia" w:cs="宋体"/>
                <w:kern w:val="0"/>
                <w:sz w:val="24"/>
              </w:rPr>
              <w:t>需要开发一种结构巧妙、易操作的智能全自动锁，实现全方位锁紧、自动识别开合状态、能满足任何工况、可远程监控、无线操作、运行和部件异常报警亦可以手动操作的新型多功能集装箱火车用智能全自动锁及其配套设施，既能够提供一种集装箱火车运输用全自动锁，即能全程监控、</w:t>
            </w:r>
            <w:bookmarkStart w:id="0" w:name="OLE_LINK6"/>
            <w:bookmarkStart w:id="1" w:name="OLE_LINK5"/>
            <w:r>
              <w:rPr>
                <w:rFonts w:hint="eastAsia" w:cs="宋体"/>
                <w:kern w:val="0"/>
                <w:sz w:val="24"/>
              </w:rPr>
              <w:t>也能全方位锁紧；既能</w:t>
            </w:r>
            <w:bookmarkEnd w:id="0"/>
            <w:bookmarkEnd w:id="1"/>
            <w:r>
              <w:rPr>
                <w:rFonts w:hint="eastAsia" w:cs="宋体"/>
                <w:kern w:val="0"/>
                <w:sz w:val="24"/>
              </w:rPr>
              <w:t>降低工人劳动轻度、又不会错装的集装箱火车用全自动锁。</w:t>
            </w:r>
          </w:p>
          <w:p>
            <w:pPr>
              <w:ind w:firstLine="0" w:firstLineChars="0"/>
              <w:jc w:val="center"/>
              <w:rPr>
                <w:rFonts w:hint="eastAsia" w:cs="宋体"/>
                <w:kern w:val="0"/>
                <w:sz w:val="24"/>
              </w:rPr>
            </w:pPr>
          </w:p>
          <w:p>
            <w:pPr>
              <w:ind w:firstLine="0" w:firstLineChars="0"/>
              <w:jc w:val="center"/>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29" w:type="dxa"/>
            <w:vMerge w:val="restart"/>
            <w:tcBorders>
              <w:top w:val="single" w:color="auto" w:sz="4" w:space="0"/>
              <w:left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技术</w:t>
            </w:r>
          </w:p>
          <w:p>
            <w:pPr>
              <w:ind w:firstLine="0" w:firstLineChars="0"/>
              <w:jc w:val="center"/>
              <w:rPr>
                <w:rFonts w:cs="宋体"/>
                <w:kern w:val="0"/>
                <w:sz w:val="24"/>
              </w:rPr>
            </w:pPr>
            <w:r>
              <w:rPr>
                <w:rFonts w:hint="eastAsia" w:cs="宋体"/>
                <w:kern w:val="0"/>
                <w:sz w:val="24"/>
              </w:rPr>
              <w:t>需求</w:t>
            </w:r>
          </w:p>
          <w:p>
            <w:pPr>
              <w:ind w:firstLine="0" w:firstLineChars="0"/>
              <w:jc w:val="center"/>
              <w:rPr>
                <w:rFonts w:cs="宋体"/>
                <w:kern w:val="0"/>
                <w:sz w:val="24"/>
              </w:rPr>
            </w:pPr>
            <w:r>
              <w:rPr>
                <w:rFonts w:hint="eastAsia" w:cs="宋体"/>
                <w:kern w:val="0"/>
                <w:sz w:val="24"/>
              </w:rPr>
              <w:t>详述</w:t>
            </w:r>
          </w:p>
        </w:tc>
        <w:tc>
          <w:tcPr>
            <w:tcW w:w="6901" w:type="dxa"/>
            <w:gridSpan w:val="8"/>
            <w:tcBorders>
              <w:top w:val="single" w:color="auto" w:sz="4" w:space="0"/>
              <w:left w:val="nil"/>
              <w:bottom w:val="single" w:color="auto" w:sz="4" w:space="0"/>
              <w:right w:val="single" w:color="auto" w:sz="4" w:space="0"/>
            </w:tcBorders>
            <w:vAlign w:val="center"/>
          </w:tcPr>
          <w:p>
            <w:pPr>
              <w:ind w:firstLine="0" w:firstLineChars="0"/>
              <w:rPr>
                <w:rFonts w:hint="eastAsia" w:cs="宋体"/>
                <w:sz w:val="24"/>
              </w:rPr>
            </w:pPr>
            <w:r>
              <w:rPr>
                <w:rFonts w:hint="eastAsia" w:cs="宋体"/>
                <w:sz w:val="24"/>
              </w:rPr>
              <w:t>（包括主要技术、条件、成熟度、成本等指标）</w:t>
            </w:r>
          </w:p>
          <w:p>
            <w:pPr>
              <w:ind w:firstLine="0" w:firstLineChars="0"/>
              <w:rPr>
                <w:rFonts w:hint="eastAsia" w:cs="宋体"/>
                <w:sz w:val="24"/>
              </w:rPr>
            </w:pPr>
          </w:p>
          <w:p>
            <w:pPr>
              <w:ind w:firstLine="0" w:firstLineChars="0"/>
              <w:rPr>
                <w:rFonts w:hint="eastAsia" w:cs="宋体"/>
                <w:sz w:val="24"/>
              </w:rPr>
            </w:pPr>
          </w:p>
          <w:p>
            <w:pPr>
              <w:pStyle w:val="6"/>
              <w:numPr>
                <w:ilvl w:val="0"/>
                <w:numId w:val="1"/>
              </w:numPr>
              <w:spacing w:line="360" w:lineRule="auto"/>
              <w:ind w:firstLineChars="0"/>
              <w:jc w:val="left"/>
              <w:rPr>
                <w:rFonts w:cs="宋体"/>
                <w:sz w:val="24"/>
              </w:rPr>
            </w:pPr>
            <w:r>
              <w:rPr>
                <w:rFonts w:hint="eastAsia" w:cs="宋体"/>
                <w:sz w:val="24"/>
              </w:rPr>
              <w:t>总体方案：</w:t>
            </w:r>
          </w:p>
          <w:p>
            <w:pPr>
              <w:pStyle w:val="6"/>
              <w:numPr>
                <w:ilvl w:val="0"/>
                <w:numId w:val="2"/>
              </w:numPr>
              <w:spacing w:line="360" w:lineRule="auto"/>
              <w:ind w:firstLineChars="0"/>
              <w:jc w:val="left"/>
              <w:rPr>
                <w:rFonts w:cs="宋体"/>
                <w:sz w:val="24"/>
              </w:rPr>
            </w:pPr>
            <w:r>
              <w:rPr>
                <w:rFonts w:hint="eastAsia" w:cs="宋体"/>
                <w:sz w:val="24"/>
              </w:rPr>
              <w:t>总述：</w:t>
            </w:r>
          </w:p>
          <w:p>
            <w:pPr>
              <w:spacing w:line="360" w:lineRule="auto"/>
              <w:ind w:firstLine="480"/>
              <w:jc w:val="left"/>
              <w:rPr>
                <w:rFonts w:cs="宋体"/>
                <w:sz w:val="24"/>
              </w:rPr>
            </w:pPr>
            <w:r>
              <w:rPr>
                <w:rFonts w:hint="eastAsia" w:cs="宋体"/>
                <w:sz w:val="24"/>
              </w:rPr>
              <w:t>本系统主要包括两个部分：锁位采集器+列车集中器。锁位采集器安装在平车集群箱的8个锁位处，列车集中器用于收集列车上各个锁位采集器的状态信息。</w:t>
            </w:r>
          </w:p>
          <w:p>
            <w:pPr>
              <w:spacing w:line="360" w:lineRule="auto"/>
              <w:ind w:firstLine="480"/>
              <w:jc w:val="left"/>
              <w:rPr>
                <w:rFonts w:cs="宋体"/>
                <w:sz w:val="24"/>
              </w:rPr>
            </w:pPr>
            <w:r>
              <w:rPr>
                <w:rFonts w:hint="eastAsia" w:cs="宋体"/>
                <w:sz w:val="24"/>
              </w:rPr>
              <w:t>在机车头部设置列车集中器通过平台连接各平车锁位控制器搜集数据和发出指令，各平车端设有锁位采集器用来连接各锁位压力值和落锁位移，接收/发出信号，通过平台将传感器数据传递给云服务器端和移动端。云服务器端用于连接各平车端的锁位采集器和移动接入用户端。锁位采集器用于采集平车各锁位的传感器数据和收发信号。移动用户器为现场人员近程无线操作设备，实现无线监控设备状态。锁座内植入定位芯片，便于产品追溯和跟踪服务。系统发现异常诸如集装箱超载等现象可以提醒。系统</w:t>
            </w:r>
            <w:r>
              <w:rPr>
                <w:rFonts w:cs="宋体"/>
                <w:sz w:val="24"/>
              </w:rPr>
              <w:t>能够自动识别起落箱</w:t>
            </w:r>
            <w:r>
              <w:rPr>
                <w:rFonts w:hint="eastAsia" w:cs="宋体"/>
                <w:sz w:val="24"/>
              </w:rPr>
              <w:t>是否落到正确位置</w:t>
            </w:r>
            <w:r>
              <w:rPr>
                <w:rFonts w:cs="宋体"/>
                <w:sz w:val="24"/>
              </w:rPr>
              <w:t>，</w:t>
            </w:r>
            <w:r>
              <w:rPr>
                <w:rFonts w:hint="eastAsia" w:cs="宋体"/>
                <w:sz w:val="24"/>
              </w:rPr>
              <w:t>判断锁具是否在正常状态下工作，</w:t>
            </w:r>
            <w:r>
              <w:rPr>
                <w:rFonts w:cs="宋体"/>
                <w:sz w:val="24"/>
              </w:rPr>
              <w:t>异常时报警</w:t>
            </w:r>
            <w:r>
              <w:rPr>
                <w:rFonts w:hint="eastAsia" w:cs="宋体"/>
                <w:sz w:val="24"/>
              </w:rPr>
              <w:t>。报警信号可以分为本地报警或远程报警，提醒现场操作人员和后台处理人员立即纠正或后期维护时优先处理的依据。锁位采集器和列车集中器配备定位跟踪系统，可将自身位置信息发送到服务端，因此定位跟踪系统能记录数据反馈给厂家便于后期改进和维护。</w:t>
            </w:r>
          </w:p>
          <w:p>
            <w:pPr>
              <w:spacing w:line="360" w:lineRule="auto"/>
              <w:ind w:firstLine="480"/>
              <w:rPr>
                <w:rFonts w:cs="宋体"/>
                <w:sz w:val="24"/>
              </w:rPr>
            </w:pPr>
            <w:r>
              <w:rPr>
                <w:rFonts w:hint="eastAsia" w:cs="宋体"/>
                <w:sz w:val="24"/>
              </w:rPr>
              <w:t>2、方案描述：</w:t>
            </w:r>
          </w:p>
          <w:p>
            <w:pPr>
              <w:spacing w:line="360" w:lineRule="auto"/>
              <w:ind w:firstLine="480"/>
              <w:rPr>
                <w:rFonts w:cs="宋体"/>
                <w:sz w:val="24"/>
              </w:rPr>
            </w:pPr>
            <w:r>
              <w:rPr>
                <w:rFonts w:hint="eastAsia" w:cs="宋体"/>
                <w:sz w:val="24"/>
              </w:rPr>
              <w:t>① 锁位采集器与列车集中器采用有线CAN总线构架，锁位采集器具有称重功能，锁位采集器和列车集中器都具有GPS/BDS定位能力和无线GPRS通信能力，可以将锁位传感器状态与列车实时行驶位置定位数据发送到列车集中器与云服务端，列车集中器或手机端可以查看各个锁位的工作状态和位置信息。</w:t>
            </w:r>
          </w:p>
          <w:p>
            <w:pPr>
              <w:spacing w:line="360" w:lineRule="auto"/>
              <w:ind w:firstLine="480"/>
              <w:rPr>
                <w:rFonts w:cs="宋体"/>
                <w:sz w:val="24"/>
              </w:rPr>
            </w:pPr>
            <w:r>
              <w:rPr>
                <w:rFonts w:hint="eastAsia" w:cs="宋体"/>
                <w:sz w:val="24"/>
              </w:rPr>
              <w:t>② 在每个站的上下起落箱信息通过称重传感器和定位芯片共同把传感器数据发送到服务器系统数据库中，这样在每个站的信息与下一站的信息都能准确及时地发送并记录在云服务器的数据库中以便查询。这样就可完美地解决站与站之间（点与点之间）状态信息，且能记录站一站之间数据或者启动到最近一次停车的这个过程中的状态。</w:t>
            </w:r>
          </w:p>
          <w:p>
            <w:pPr>
              <w:spacing w:line="360" w:lineRule="auto"/>
              <w:ind w:firstLine="480"/>
              <w:rPr>
                <w:rFonts w:cs="宋体"/>
                <w:sz w:val="24"/>
              </w:rPr>
            </w:pPr>
            <w:r>
              <w:rPr>
                <w:rFonts w:hint="eastAsia" w:cs="宋体"/>
                <w:sz w:val="24"/>
              </w:rPr>
              <w:t>③ 在每个锁座上安装称重传感器来感应集装箱落下来一刹那间的重力是否超载，如果超过有效荷载的重量，则向云服务端报警，并进行每次起落箱称重值的记录，并保存在云服务端数据库中。</w:t>
            </w:r>
          </w:p>
          <w:p>
            <w:pPr>
              <w:spacing w:line="360" w:lineRule="auto"/>
              <w:ind w:firstLine="480"/>
              <w:rPr>
                <w:rFonts w:cs="宋体"/>
                <w:sz w:val="24"/>
              </w:rPr>
            </w:pPr>
            <w:r>
              <w:rPr>
                <w:rFonts w:hint="eastAsia" w:cs="宋体"/>
                <w:sz w:val="24"/>
              </w:rPr>
              <w:t>④ 在每个锁座上安装两路接近开关，用于判断集装箱落锁位置是否正确。如果称重传感器检测到称重数值，但接近开关未检测到集装箱接近，则说明落锁位置有偏移，发出落锁报警信号。接近开关的距离判断值默认为1cm。</w:t>
            </w:r>
          </w:p>
          <w:p>
            <w:pPr>
              <w:spacing w:line="360" w:lineRule="auto"/>
              <w:ind w:firstLine="480"/>
              <w:rPr>
                <w:rFonts w:cs="宋体"/>
                <w:sz w:val="24"/>
              </w:rPr>
            </w:pPr>
            <w:r>
              <w:rPr>
                <w:rFonts w:hint="eastAsia" w:cs="宋体"/>
                <w:sz w:val="24"/>
              </w:rPr>
              <w:t>⑤ 在锁头与锁位采集器之间设置设计一套蓝牙距离感应器，如果发生诸如盗窃行为等非正常拆卸时，锁头与锁位采集器的距离超过一定值时，触发本地报警和远程报警。</w:t>
            </w:r>
          </w:p>
          <w:p>
            <w:pPr>
              <w:spacing w:line="360" w:lineRule="auto"/>
              <w:ind w:firstLine="480"/>
              <w:rPr>
                <w:rFonts w:cs="宋体"/>
                <w:sz w:val="24"/>
              </w:rPr>
            </w:pPr>
            <w:r>
              <w:rPr>
                <w:rFonts w:hint="eastAsia" w:cs="宋体"/>
                <w:sz w:val="24"/>
              </w:rPr>
              <w:t>⑥ 在列车车头控制室的控制盒也安装一个类似的蓝牙距离感应器，来时刻监测控制盒与监视器的距离，当距离超过一定值时，触发本地报警和远程报警。</w:t>
            </w:r>
          </w:p>
          <w:p>
            <w:pPr>
              <w:spacing w:line="360" w:lineRule="auto"/>
              <w:ind w:firstLine="480"/>
              <w:rPr>
                <w:rFonts w:cs="宋体"/>
                <w:sz w:val="24"/>
              </w:rPr>
            </w:pPr>
            <w:r>
              <w:rPr>
                <w:rFonts w:hint="eastAsia" w:cs="宋体"/>
                <w:sz w:val="24"/>
              </w:rPr>
              <w:t>⑦ 列车集中器采用不锈钢盒装方式，安装在列车头部，列车驾驶员可用触摸屏方式查看本列车所装锁具的传感器数据与工作状态。列车集中器可以接收列车所有锁位的状态信息，也可以将本地信息发送到云服务器端。</w:t>
            </w:r>
          </w:p>
          <w:p>
            <w:pPr>
              <w:spacing w:line="360" w:lineRule="auto"/>
              <w:ind w:firstLine="480"/>
              <w:rPr>
                <w:rFonts w:cs="宋体"/>
                <w:sz w:val="24"/>
              </w:rPr>
            </w:pPr>
            <w:r>
              <w:rPr>
                <w:rFonts w:hint="eastAsia" w:cs="宋体"/>
                <w:sz w:val="24"/>
              </w:rPr>
              <w:t>⑧ 集装箱状态判断主要依靠四个角落的四路称重传感器和两路接近开关，当称重传感器发生重量超限时产生超限报警，当四路称重传感器发生一定量的不平衡值产生偏移报警，当接近开关未检测到集装箱接近但有称重数值时产生落锁报警。上次判断规则以及判断阈值可以组合使用，具体算法可以用软件实现。</w:t>
            </w:r>
          </w:p>
          <w:p>
            <w:pPr>
              <w:ind w:firstLine="480"/>
              <w:jc w:val="left"/>
              <w:rPr>
                <w:rFonts w:cs="宋体"/>
                <w:sz w:val="24"/>
              </w:rPr>
            </w:pPr>
            <w:r>
              <w:rPr>
                <w:rFonts w:hint="eastAsia" w:cs="宋体"/>
                <w:sz w:val="24"/>
              </w:rPr>
              <w:t>二、主要技术</w:t>
            </w:r>
          </w:p>
          <w:p>
            <w:pPr>
              <w:spacing w:line="360" w:lineRule="auto"/>
              <w:ind w:firstLine="480"/>
              <w:rPr>
                <w:rFonts w:cs="宋体"/>
                <w:sz w:val="24"/>
              </w:rPr>
            </w:pPr>
            <w:r>
              <w:rPr>
                <w:rFonts w:hint="eastAsia" w:cs="宋体"/>
                <w:sz w:val="24"/>
              </w:rPr>
              <w:t>（1）宽温度范围称重技术。</w:t>
            </w:r>
          </w:p>
          <w:p>
            <w:pPr>
              <w:spacing w:line="360" w:lineRule="auto"/>
              <w:ind w:firstLine="480"/>
              <w:rPr>
                <w:rFonts w:cs="宋体"/>
                <w:sz w:val="24"/>
              </w:rPr>
            </w:pPr>
            <w:r>
              <w:rPr>
                <w:rFonts w:hint="eastAsia" w:cs="宋体"/>
                <w:sz w:val="24"/>
              </w:rPr>
              <w:t>称重传感器</w:t>
            </w:r>
            <w:r>
              <w:rPr>
                <w:rFonts w:cs="宋体"/>
                <w:sz w:val="24"/>
              </w:rPr>
              <w:t>由一个或多个能在受力后产生形变的弹性体，能感应这个形变量的电阻应变片组成的惠斯登</w:t>
            </w:r>
            <w:r>
              <w:fldChar w:fldCharType="begin"/>
            </w:r>
            <w:r>
              <w:instrText xml:space="preserve"> HYPERLINK "https://www.baidu.com/s?wd=%E7%94%B5%E6%A1%A5%E7%94%B5%E8%B7%AF&amp;tn=44039180_cpr&amp;fenlei=mv6quAkxTZn0IZRqIHckPjm4nH00T1YLuhN-nHckn164mHRzPhPW0ZwV5Hcvrjm3rH6sPfKWUMw85HfYnjn4nH6sgvPsT6KdThsqpZwYTjCEQLGCpyw9Uz4Bmy-bIi4WUvYETgN-TLwGUv3EnHR1nHbsnjmv" \t "https://zhidao.baidu.com/question/_blank" </w:instrText>
            </w:r>
            <w:r>
              <w:fldChar w:fldCharType="separate"/>
            </w:r>
            <w:r>
              <w:rPr>
                <w:rFonts w:cs="宋体"/>
                <w:sz w:val="24"/>
              </w:rPr>
              <w:t>电桥电路</w:t>
            </w:r>
            <w:r>
              <w:rPr>
                <w:rFonts w:cs="宋体"/>
                <w:sz w:val="24"/>
              </w:rPr>
              <w:fldChar w:fldCharType="end"/>
            </w:r>
            <w:r>
              <w:rPr>
                <w:rFonts w:cs="宋体"/>
                <w:sz w:val="24"/>
              </w:rPr>
              <w:t>，电阻应变片固定粘贴在弹性体上并能传导应变量的粘合剂和保护电子电路的密封胶等三大部分组成。</w:t>
            </w:r>
            <w:r>
              <w:rPr>
                <w:rFonts w:hint="eastAsia" w:cs="宋体"/>
                <w:sz w:val="24"/>
              </w:rPr>
              <w:t>其工作原理如下：</w:t>
            </w:r>
            <w:r>
              <w:rPr>
                <w:rFonts w:cs="宋体"/>
                <w:sz w:val="24"/>
              </w:rPr>
              <w:t>应变片贴在弹性体上，当弹性体受力变形时，应变片也变形，同时应变片的电阻值发生变化，以此达到测</w:t>
            </w:r>
            <w:r>
              <w:rPr>
                <w:rFonts w:hint="eastAsia" w:cs="宋体"/>
                <w:sz w:val="24"/>
              </w:rPr>
              <w:t>重</w:t>
            </w:r>
            <w:r>
              <w:rPr>
                <w:rFonts w:cs="宋体"/>
                <w:sz w:val="24"/>
              </w:rPr>
              <w:t>的目的</w:t>
            </w:r>
            <w:r>
              <w:rPr>
                <w:rFonts w:hint="eastAsia" w:cs="宋体"/>
                <w:sz w:val="24"/>
              </w:rPr>
              <w:t>。本项目中拟采用低温和高温环境下都能用的宽温度范围称重传感器，并对四个角落称重传感器的数据进行统计分析，进而判断集装箱的装载状态。默认量程为0-10T。</w:t>
            </w:r>
          </w:p>
          <w:p>
            <w:pPr>
              <w:numPr>
                <w:ilvl w:val="0"/>
                <w:numId w:val="3"/>
              </w:numPr>
              <w:spacing w:line="360" w:lineRule="auto"/>
              <w:ind w:firstLine="480"/>
              <w:rPr>
                <w:rFonts w:cs="宋体"/>
                <w:sz w:val="24"/>
              </w:rPr>
            </w:pPr>
            <w:r>
              <w:rPr>
                <w:rFonts w:hint="eastAsia" w:cs="宋体"/>
                <w:sz w:val="24"/>
              </w:rPr>
              <w:t>集装箱落锁检测技术。</w:t>
            </w:r>
          </w:p>
          <w:p>
            <w:pPr>
              <w:spacing w:line="360" w:lineRule="auto"/>
              <w:ind w:firstLine="480"/>
              <w:rPr>
                <w:rFonts w:cs="宋体"/>
                <w:sz w:val="24"/>
              </w:rPr>
            </w:pPr>
            <w:r>
              <w:rPr>
                <w:rFonts w:hint="eastAsia" w:cs="宋体"/>
                <w:sz w:val="24"/>
              </w:rPr>
              <w:t>接近开关是一种无需与运动部件进行机械直接接触而可以操作的</w:t>
            </w:r>
            <w:r>
              <w:fldChar w:fldCharType="begin"/>
            </w:r>
            <w:r>
              <w:instrText xml:space="preserve"> HYPERLINK "https://baike.baidu.com/item/%E4%BD%8D%E7%BD%AE%E5%BC%80%E5%85%B3" \t "https://baike.baidu.com/item/%E6%8E%A5%E8%BF%91%E5%BC%80%E5%85%B3/_blank" </w:instrText>
            </w:r>
            <w:r>
              <w:fldChar w:fldCharType="separate"/>
            </w:r>
            <w:r>
              <w:rPr>
                <w:rFonts w:cs="宋体"/>
                <w:sz w:val="24"/>
              </w:rPr>
              <w:t>位置开关</w:t>
            </w:r>
            <w:r>
              <w:rPr>
                <w:rFonts w:cs="宋体"/>
                <w:sz w:val="24"/>
              </w:rPr>
              <w:fldChar w:fldCharType="end"/>
            </w:r>
            <w:r>
              <w:rPr>
                <w:rFonts w:cs="宋体"/>
                <w:sz w:val="24"/>
              </w:rPr>
              <w:t>，当物体接近开关的感应面到动作距离时，不需要机械接触及施加任何压力即可使开关动作</w:t>
            </w:r>
            <w:r>
              <w:rPr>
                <w:rFonts w:hint="eastAsia" w:cs="宋体"/>
                <w:sz w:val="24"/>
              </w:rPr>
              <w:t>。接近开关是种开关型传感器（无触点开关），既有行程开关、微动开关的特性，同时具有传感性能，且动作可靠，性能稳定，频率响应快，应用寿命长，抗干扰能力强等、并具有防水、防震、耐腐蚀等特点。本项目中拟采用两路接近开关来判断集装箱是否落锁到位，只有接近开关都触发时才认为落锁到位。默认检测距离为1cm。</w:t>
            </w:r>
          </w:p>
          <w:p>
            <w:pPr>
              <w:widowControl/>
              <w:ind w:firstLine="480"/>
              <w:jc w:val="center"/>
              <w:rPr>
                <w:rFonts w:cs="宋体"/>
                <w:sz w:val="24"/>
              </w:rPr>
            </w:pPr>
            <w:r>
              <w:rPr>
                <w:rFonts w:cs="宋体"/>
                <w:sz w:val="24"/>
              </w:rPr>
              <w:drawing>
                <wp:inline distT="0" distB="0" distL="114300" distR="114300">
                  <wp:extent cx="2781935" cy="1464310"/>
                  <wp:effectExtent l="0" t="0" r="18415" b="2540"/>
                  <wp:docPr id="4"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IMG_256"/>
                          <pic:cNvPicPr>
                            <a:picLocks noChangeAspect="1"/>
                          </pic:cNvPicPr>
                        </pic:nvPicPr>
                        <pic:blipFill>
                          <a:blip r:embed="rId4" cstate="print"/>
                          <a:stretch>
                            <a:fillRect/>
                          </a:stretch>
                        </pic:blipFill>
                        <pic:spPr>
                          <a:xfrm>
                            <a:off x="0" y="0"/>
                            <a:ext cx="2781935" cy="1464310"/>
                          </a:xfrm>
                          <a:prstGeom prst="rect">
                            <a:avLst/>
                          </a:prstGeom>
                          <a:noFill/>
                          <a:ln w="9525">
                            <a:noFill/>
                          </a:ln>
                        </pic:spPr>
                      </pic:pic>
                    </a:graphicData>
                  </a:graphic>
                </wp:inline>
              </w:drawing>
            </w:r>
          </w:p>
          <w:p>
            <w:pPr>
              <w:numPr>
                <w:ilvl w:val="0"/>
                <w:numId w:val="3"/>
              </w:numPr>
              <w:spacing w:line="360" w:lineRule="auto"/>
              <w:ind w:firstLine="480"/>
              <w:rPr>
                <w:rFonts w:cs="宋体"/>
                <w:sz w:val="24"/>
              </w:rPr>
            </w:pPr>
            <w:r>
              <w:rPr>
                <w:rFonts w:hint="eastAsia" w:cs="宋体"/>
                <w:sz w:val="24"/>
              </w:rPr>
              <w:t>高速下无线通信技术。</w:t>
            </w:r>
          </w:p>
          <w:p>
            <w:pPr>
              <w:spacing w:line="360" w:lineRule="auto"/>
              <w:ind w:firstLine="480"/>
              <w:rPr>
                <w:rFonts w:cs="宋体"/>
                <w:sz w:val="24"/>
              </w:rPr>
            </w:pPr>
            <w:r>
              <w:rPr>
                <w:rFonts w:hint="eastAsia" w:cs="宋体"/>
                <w:sz w:val="24"/>
              </w:rPr>
              <w:t>铁路沿线地形复杂、</w:t>
            </w:r>
            <w:r>
              <w:rPr>
                <w:rFonts w:cs="宋体"/>
                <w:sz w:val="24"/>
              </w:rPr>
              <w:t>无线电传播环境恶劣，加之列车的快速移动，通信传输的连续性和可靠性至关重要</w:t>
            </w:r>
            <w:r>
              <w:rPr>
                <w:rFonts w:hint="eastAsia" w:cs="宋体"/>
                <w:sz w:val="24"/>
              </w:rPr>
              <w:t>。在平板车之间CAN有线通信组网的基础上，兼容用于高速列车的无线通信系统，本项目拟采用GPRS无线通信技术实现锁位状态的数据无线实时上传，数据链接的可靠通信协议与技术是本项目的研究重点。</w:t>
            </w:r>
          </w:p>
          <w:p>
            <w:pPr>
              <w:numPr>
                <w:ilvl w:val="0"/>
                <w:numId w:val="3"/>
              </w:numPr>
              <w:spacing w:line="360" w:lineRule="auto"/>
              <w:ind w:firstLine="480"/>
              <w:rPr>
                <w:rFonts w:cs="宋体"/>
                <w:sz w:val="24"/>
              </w:rPr>
            </w:pPr>
            <w:r>
              <w:rPr>
                <w:rFonts w:hint="eastAsia" w:cs="宋体"/>
                <w:sz w:val="24"/>
              </w:rPr>
              <w:t>高速移动准定位技术。</w:t>
            </w:r>
          </w:p>
          <w:p>
            <w:pPr>
              <w:spacing w:line="360" w:lineRule="auto"/>
              <w:ind w:firstLine="480"/>
              <w:rPr>
                <w:rFonts w:cs="宋体"/>
                <w:sz w:val="24"/>
              </w:rPr>
            </w:pPr>
            <w:r>
              <w:rPr>
                <w:rFonts w:hint="eastAsia" w:cs="宋体"/>
                <w:sz w:val="24"/>
              </w:rPr>
              <w:t>中国北斗卫星导航系统（BeiDou Navigation Satellite System，BDS）是中国自行研制的</w:t>
            </w:r>
            <w:r>
              <w:fldChar w:fldCharType="begin"/>
            </w:r>
            <w:r>
              <w:instrText xml:space="preserve"> HYPERLINK "https://baike.baidu.com/item/%E5%85%A8%E7%90%83%E5%8D%AB%E6%98%9F%E5%AF%BC%E8%88%AA%E7%B3%BB%E7%BB%9F" \t "https://baike.baidu.com/item/%E5%8C%97%E6%96%97%E5%8D%AB%E6%98%9F%E5%AF%BC%E8%88%AA%E7%B3%BB%E7%BB%9F/_blank" </w:instrText>
            </w:r>
            <w:r>
              <w:fldChar w:fldCharType="separate"/>
            </w:r>
            <w:r>
              <w:rPr>
                <w:rFonts w:cs="宋体"/>
                <w:sz w:val="24"/>
              </w:rPr>
              <w:t>全球卫星导航系统</w:t>
            </w:r>
            <w:r>
              <w:rPr>
                <w:rFonts w:cs="宋体"/>
                <w:sz w:val="24"/>
              </w:rPr>
              <w:fldChar w:fldCharType="end"/>
            </w:r>
            <w:r>
              <w:rPr>
                <w:rFonts w:hint="eastAsia" w:cs="宋体"/>
                <w:sz w:val="24"/>
              </w:rPr>
              <w:t>，</w:t>
            </w:r>
            <w:r>
              <w:rPr>
                <w:rFonts w:cs="宋体"/>
                <w:sz w:val="24"/>
              </w:rPr>
              <w:t>是继美国全球定位系统（GPS）、俄罗斯格洛纳斯卫星导航系统（GLONASS）之后第三个成熟的卫星导航系统。</w:t>
            </w:r>
            <w:r>
              <w:rPr>
                <w:rFonts w:hint="eastAsia" w:cs="宋体"/>
                <w:sz w:val="24"/>
              </w:rPr>
              <w:t>兼容GPS和北斗卫星技术的双重精确定位保障，本项目中拟采用兼容GPS/BDS的室外定位技术获取锁具在高速移动条件下的位置信息。</w:t>
            </w:r>
          </w:p>
          <w:p>
            <w:pPr>
              <w:numPr>
                <w:ilvl w:val="0"/>
                <w:numId w:val="3"/>
              </w:numPr>
              <w:spacing w:line="360" w:lineRule="auto"/>
              <w:ind w:firstLine="480"/>
              <w:rPr>
                <w:rFonts w:cs="宋体"/>
                <w:sz w:val="24"/>
              </w:rPr>
            </w:pPr>
            <w:r>
              <w:rPr>
                <w:rFonts w:hint="eastAsia" w:cs="宋体"/>
                <w:sz w:val="24"/>
              </w:rPr>
              <w:t>蓝牙超距离感应技术。</w:t>
            </w:r>
          </w:p>
          <w:p>
            <w:pPr>
              <w:spacing w:line="360" w:lineRule="auto"/>
              <w:ind w:firstLine="480"/>
              <w:rPr>
                <w:rFonts w:cs="宋体"/>
                <w:sz w:val="24"/>
              </w:rPr>
            </w:pPr>
            <w:r>
              <w:rPr>
                <w:rFonts w:hint="eastAsia" w:cs="宋体"/>
                <w:sz w:val="24"/>
              </w:rPr>
              <w:t>针对列车锁头防盗需求，在锁头和锁位采集器之间采用蓝牙超距离感应系统：当锁头离锁位采集器之间的距离大于一定值时，锁位采集器可以发出报警信息，将偷盗报警信号进行远程传输。同时也可以外接本地报警蜂鸣器，实现本地声光鸣笛。</w:t>
            </w:r>
          </w:p>
          <w:p>
            <w:pPr>
              <w:ind w:firstLine="480"/>
              <w:jc w:val="left"/>
              <w:rPr>
                <w:rFonts w:cs="宋体"/>
                <w:sz w:val="24"/>
              </w:rPr>
            </w:pPr>
            <w:r>
              <w:rPr>
                <w:rFonts w:hint="eastAsia" w:cs="宋体"/>
                <w:sz w:val="24"/>
              </w:rPr>
              <w:t>4、结构设计</w:t>
            </w:r>
          </w:p>
          <w:p>
            <w:pPr>
              <w:ind w:firstLine="480"/>
              <w:jc w:val="left"/>
              <w:rPr>
                <w:rFonts w:cs="宋体"/>
                <w:sz w:val="24"/>
              </w:rPr>
            </w:pPr>
            <w:r>
              <w:rPr>
                <w:rFonts w:hint="eastAsia" w:cs="宋体"/>
                <w:sz w:val="24"/>
              </w:rPr>
              <w:t>锁座内最多安装1个称重传感器、2个接近传感器、1个蓝牙防丢器，用线缆方式连接到锁位采集器，完成供电和信号收发控制，锁位采集器将采集到的传感器数据进行计算分析，通过有线或无线方式上传数据。</w:t>
            </w:r>
          </w:p>
          <w:p>
            <w:pPr>
              <w:ind w:firstLine="480"/>
              <w:jc w:val="left"/>
              <w:rPr>
                <w:rFonts w:cs="宋体"/>
                <w:sz w:val="24"/>
              </w:rPr>
            </w:pPr>
            <w:r>
              <w:rPr>
                <w:rFonts w:hint="eastAsia" w:cs="宋体"/>
                <w:sz w:val="24"/>
              </w:rPr>
              <w:t>5、云服务器及APP软件</w:t>
            </w:r>
          </w:p>
          <w:p>
            <w:pPr>
              <w:spacing w:line="360" w:lineRule="auto"/>
              <w:ind w:firstLine="480"/>
              <w:rPr>
                <w:rFonts w:cs="宋体"/>
                <w:sz w:val="24"/>
              </w:rPr>
            </w:pPr>
            <w:r>
              <w:rPr>
                <w:rFonts w:hint="eastAsia" w:cs="宋体"/>
                <w:sz w:val="24"/>
              </w:rPr>
              <w:t>开发云服务器端Web服务器和微信小程序，可以在手机上通过集成的地图查看集装箱（锁的地理位置），锁具的工作状态（称重传感器值以及接近开关检测情况）、列车集中器的工作状态。实现机制：手机终端绑定锁设备，绑定后可以向云服务器发送采集到的重量，地理位置等信息。通过手机端访问服务器可以查看到锁的工作状态和相关数据。</w:t>
            </w:r>
          </w:p>
          <w:p>
            <w:pPr>
              <w:spacing w:line="360" w:lineRule="auto"/>
              <w:ind w:firstLine="480"/>
              <w:rPr>
                <w:rFonts w:cs="宋体"/>
                <w:sz w:val="24"/>
              </w:rPr>
            </w:pPr>
            <w:r>
              <w:rPr>
                <w:rFonts w:hint="eastAsia" w:cs="宋体"/>
                <w:sz w:val="24"/>
              </w:rPr>
              <w:t>三、使用条件：满足各种工况条件</w:t>
            </w:r>
          </w:p>
          <w:p>
            <w:pPr>
              <w:ind w:firstLine="480"/>
              <w:rPr>
                <w:rFonts w:hint="eastAsia" w:cs="宋体"/>
                <w:sz w:val="24"/>
              </w:rPr>
            </w:pPr>
            <w:r>
              <w:rPr>
                <w:rFonts w:hint="eastAsia" w:cs="宋体"/>
                <w:sz w:val="24"/>
              </w:rPr>
              <w:t>四、研发报价：开发成本50万元，单价6500/套</w:t>
            </w:r>
          </w:p>
          <w:p>
            <w:pPr>
              <w:ind w:firstLine="480"/>
              <w:rPr>
                <w:rFonts w:hint="eastAsia" w:cs="宋体"/>
                <w:sz w:val="24"/>
              </w:rPr>
            </w:pPr>
          </w:p>
          <w:p>
            <w:pPr>
              <w:ind w:firstLine="480"/>
              <w:rPr>
                <w:rFonts w:hint="eastAsia" w:cs="宋体"/>
                <w:sz w:val="24"/>
              </w:rPr>
            </w:pPr>
            <w:bookmarkStart w:id="2" w:name="_GoBack"/>
            <w:bookmarkEnd w:id="2"/>
          </w:p>
          <w:p>
            <w:pPr>
              <w:spacing w:line="360" w:lineRule="auto"/>
              <w:ind w:firstLine="48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29" w:type="dxa"/>
            <w:vMerge w:val="continue"/>
            <w:tcBorders>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现有</w:t>
            </w:r>
          </w:p>
          <w:p>
            <w:pPr>
              <w:ind w:firstLine="0" w:firstLineChars="0"/>
              <w:jc w:val="center"/>
              <w:rPr>
                <w:rFonts w:cs="宋体"/>
                <w:kern w:val="0"/>
                <w:sz w:val="24"/>
              </w:rPr>
            </w:pPr>
            <w:r>
              <w:rPr>
                <w:rFonts w:hint="eastAsia" w:cs="宋体"/>
                <w:kern w:val="0"/>
                <w:sz w:val="24"/>
              </w:rPr>
              <w:t>基础</w:t>
            </w:r>
          </w:p>
          <w:p>
            <w:pPr>
              <w:ind w:firstLine="0" w:firstLineChars="0"/>
              <w:jc w:val="center"/>
              <w:rPr>
                <w:rFonts w:cs="宋体"/>
                <w:kern w:val="0"/>
                <w:sz w:val="24"/>
              </w:rPr>
            </w:pPr>
            <w:r>
              <w:rPr>
                <w:rFonts w:hint="eastAsia" w:cs="宋体"/>
                <w:kern w:val="0"/>
                <w:sz w:val="24"/>
              </w:rPr>
              <w:t>情况</w:t>
            </w:r>
          </w:p>
        </w:tc>
        <w:tc>
          <w:tcPr>
            <w:tcW w:w="6901" w:type="dxa"/>
            <w:gridSpan w:val="8"/>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（企业已经开展的工作、所处阶段、投入资金和人力、仪器设备、生产条件等）</w:t>
            </w:r>
          </w:p>
          <w:p>
            <w:pPr>
              <w:spacing w:line="220" w:lineRule="atLeast"/>
              <w:ind w:firstLine="480"/>
              <w:rPr>
                <w:rFonts w:hint="eastAsia" w:cs="宋体"/>
                <w:kern w:val="0"/>
                <w:sz w:val="24"/>
              </w:rPr>
            </w:pPr>
          </w:p>
          <w:p>
            <w:pPr>
              <w:spacing w:line="220" w:lineRule="atLeast"/>
              <w:ind w:firstLine="480"/>
              <w:rPr>
                <w:rFonts w:cs="宋体"/>
                <w:kern w:val="0"/>
                <w:sz w:val="24"/>
              </w:rPr>
            </w:pPr>
            <w:r>
              <w:rPr>
                <w:rFonts w:hint="eastAsia" w:cs="宋体"/>
                <w:kern w:val="0"/>
                <w:sz w:val="24"/>
              </w:rPr>
              <w:t>目前，集装箱火车运输时，所用连接件都是纯机械式的，在运输过程中，这些连接件是无法实现全天候监控的，如有连接件损坏或失效而没及时发现，这可能导致集装箱翻箱或掉箱，也可能因为翻箱或掉箱产生其它一系列安全事故，这造成的损失是无法估量的。</w:t>
            </w:r>
          </w:p>
          <w:p>
            <w:pPr>
              <w:spacing w:line="220" w:lineRule="atLeast"/>
              <w:ind w:firstLine="480"/>
              <w:rPr>
                <w:rFonts w:hint="eastAsia" w:cs="宋体"/>
                <w:kern w:val="0"/>
                <w:sz w:val="24"/>
              </w:rPr>
            </w:pPr>
            <w:r>
              <w:rPr>
                <w:rFonts w:hint="eastAsia" w:cs="宋体"/>
                <w:kern w:val="0"/>
                <w:sz w:val="24"/>
              </w:rPr>
              <w:t>现有市场上所使用的全自动锁不能全方位的系固集装箱，只能水平方向锁紧，而不能垂直方向锁紧；在特殊工况下（如垂直方向加速度过大等），全自动锁无法锁紧导致脱箱，造成安全事故及经济损失。现有集装箱火车用全自动锁的安装、布置都是由人工来完成的，这不仅劳动强度大，工作效率底，而且因为人的因数可能导致产品错装，漏装及误操作，造成安装事故，如集装箱火车运输用全自动锁的布置是有要求的，如果布置错误，集装箱是无法落箱的或者落箱后无法脱箱，这产生的后果是很严重的。</w:t>
            </w:r>
          </w:p>
          <w:p>
            <w:pPr>
              <w:spacing w:line="220" w:lineRule="atLeast"/>
              <w:ind w:firstLine="480"/>
              <w:rPr>
                <w:rFonts w:hint="eastAsia" w:cs="宋体"/>
                <w:kern w:val="0"/>
                <w:sz w:val="24"/>
              </w:rPr>
            </w:pPr>
          </w:p>
          <w:p>
            <w:pPr>
              <w:spacing w:line="220" w:lineRule="atLeast"/>
              <w:ind w:firstLine="480"/>
              <w:rPr>
                <w:rFonts w:hint="eastAsia"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29" w:type="dxa"/>
            <w:vMerge w:val="restart"/>
            <w:tcBorders>
              <w:top w:val="nil"/>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产学研合作要求</w:t>
            </w: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简要</w:t>
            </w:r>
          </w:p>
          <w:p>
            <w:pPr>
              <w:ind w:firstLine="0" w:firstLineChars="0"/>
              <w:jc w:val="center"/>
              <w:rPr>
                <w:rFonts w:cs="宋体"/>
                <w:kern w:val="0"/>
                <w:sz w:val="24"/>
              </w:rPr>
            </w:pPr>
            <w:r>
              <w:rPr>
                <w:rFonts w:hint="eastAsia" w:cs="宋体"/>
                <w:kern w:val="0"/>
                <w:sz w:val="24"/>
              </w:rPr>
              <w:t>描述</w:t>
            </w:r>
          </w:p>
        </w:tc>
        <w:tc>
          <w:tcPr>
            <w:tcW w:w="6901" w:type="dxa"/>
            <w:gridSpan w:val="8"/>
            <w:tcBorders>
              <w:top w:val="single" w:color="auto" w:sz="4" w:space="0"/>
              <w:left w:val="nil"/>
              <w:bottom w:val="single" w:color="auto" w:sz="4" w:space="0"/>
              <w:right w:val="single" w:color="auto" w:sz="4" w:space="0"/>
            </w:tcBorders>
            <w:vAlign w:val="center"/>
          </w:tcPr>
          <w:p>
            <w:pPr>
              <w:ind w:firstLine="0" w:firstLineChars="0"/>
              <w:rPr>
                <w:rFonts w:hint="eastAsia" w:cs="宋体"/>
                <w:sz w:val="24"/>
              </w:rPr>
            </w:pPr>
          </w:p>
          <w:p>
            <w:pPr>
              <w:ind w:firstLine="0" w:firstLineChars="0"/>
              <w:rPr>
                <w:rFonts w:cs="宋体"/>
                <w:sz w:val="24"/>
              </w:rPr>
            </w:pPr>
            <w:r>
              <w:rPr>
                <w:rFonts w:hint="eastAsia" w:cs="宋体"/>
                <w:sz w:val="24"/>
              </w:rPr>
              <w:t>（希望与哪类高校、科研院所开展产学研合作，共建创新载体，以及对专家及团队所属领域和水平的要求）</w:t>
            </w:r>
          </w:p>
          <w:p>
            <w:pPr>
              <w:ind w:firstLine="0" w:firstLineChars="0"/>
              <w:rPr>
                <w:rFonts w:cs="宋体"/>
                <w:sz w:val="24"/>
              </w:rPr>
            </w:pPr>
          </w:p>
          <w:p>
            <w:pPr>
              <w:ind w:firstLine="0" w:firstLineChars="0"/>
              <w:rPr>
                <w:rFonts w:cs="宋体"/>
                <w:sz w:val="24"/>
              </w:rPr>
            </w:pPr>
            <w:r>
              <w:rPr>
                <w:rFonts w:hint="eastAsia" w:cs="宋体"/>
                <w:sz w:val="24"/>
              </w:rPr>
              <w:t>我们希望与国家985和211机械制造和自动化领域比较强的大学院校或者相关领域领先的研究院所合作</w:t>
            </w:r>
          </w:p>
          <w:p>
            <w:pPr>
              <w:ind w:firstLine="0" w:firstLineChars="0"/>
              <w:rPr>
                <w:rFonts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29" w:type="dxa"/>
            <w:vMerge w:val="continue"/>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合作</w:t>
            </w:r>
          </w:p>
          <w:p>
            <w:pPr>
              <w:ind w:firstLine="0" w:firstLineChars="0"/>
              <w:jc w:val="center"/>
              <w:rPr>
                <w:rFonts w:cs="宋体"/>
                <w:kern w:val="0"/>
                <w:sz w:val="24"/>
              </w:rPr>
            </w:pPr>
            <w:r>
              <w:rPr>
                <w:rFonts w:hint="eastAsia" w:cs="宋体"/>
                <w:kern w:val="0"/>
                <w:sz w:val="24"/>
              </w:rPr>
              <w:t>方式</w:t>
            </w:r>
          </w:p>
        </w:tc>
        <w:tc>
          <w:tcPr>
            <w:tcW w:w="6901" w:type="dxa"/>
            <w:gridSpan w:val="8"/>
            <w:tcBorders>
              <w:top w:val="single" w:color="auto" w:sz="4" w:space="0"/>
              <w:left w:val="nil"/>
              <w:bottom w:val="single" w:color="auto" w:sz="4" w:space="0"/>
              <w:right w:val="single" w:color="auto" w:sz="4" w:space="0"/>
            </w:tcBorders>
            <w:vAlign w:val="center"/>
          </w:tcPr>
          <w:p>
            <w:pPr>
              <w:ind w:firstLine="0" w:firstLineChars="0"/>
              <w:rPr>
                <w:rFonts w:cs="宋体"/>
                <w:sz w:val="24"/>
              </w:rPr>
            </w:pPr>
            <w:r>
              <w:rPr>
                <w:rFonts w:hint="eastAsia" w:cs="宋体"/>
                <w:sz w:val="24"/>
              </w:rPr>
              <w:t xml:space="preserve"> □技术转让    □技术入股   </w:t>
            </w:r>
            <w:r>
              <w:rPr>
                <w:rFonts w:hint="eastAsia" w:ascii="MS Mincho" w:hAnsi="MS Mincho" w:eastAsia="MS Mincho" w:cs="MS Mincho"/>
                <w:sz w:val="24"/>
              </w:rPr>
              <w:t>☑</w:t>
            </w:r>
            <w:r>
              <w:rPr>
                <w:rFonts w:hint="eastAsia" w:cs="宋体"/>
                <w:sz w:val="24"/>
              </w:rPr>
              <w:t xml:space="preserve">联合开发   </w:t>
            </w:r>
            <w:r>
              <w:rPr>
                <w:rFonts w:hint="eastAsia" w:ascii="MS Mincho" w:hAnsi="MS Mincho" w:eastAsia="MS Mincho" w:cs="MS Mincho"/>
                <w:sz w:val="24"/>
              </w:rPr>
              <w:t>☑</w:t>
            </w:r>
            <w:r>
              <w:rPr>
                <w:rFonts w:hint="eastAsia" w:cs="宋体"/>
                <w:sz w:val="24"/>
              </w:rPr>
              <w:t xml:space="preserve">委托研发 </w:t>
            </w:r>
          </w:p>
          <w:p>
            <w:pPr>
              <w:ind w:firstLine="0" w:firstLineChars="0"/>
              <w:rPr>
                <w:rFonts w:cs="宋体"/>
                <w:sz w:val="24"/>
              </w:rPr>
            </w:pPr>
            <w:r>
              <w:rPr>
                <w:rFonts w:hint="eastAsia" w:cs="宋体"/>
                <w:sz w:val="24"/>
              </w:rPr>
              <w:t xml:space="preserve"> </w:t>
            </w:r>
            <w:r>
              <w:rPr>
                <w:rFonts w:hint="eastAsia" w:ascii="MS Mincho" w:hAnsi="MS Mincho" w:eastAsia="MS Mincho" w:cs="MS Mincho"/>
                <w:sz w:val="24"/>
              </w:rPr>
              <w:t>☑</w:t>
            </w:r>
            <w:r>
              <w:rPr>
                <w:rFonts w:hint="eastAsia" w:cs="宋体"/>
                <w:sz w:val="24"/>
              </w:rPr>
              <w:t xml:space="preserve">委托团队、专家长期技术服务    </w:t>
            </w:r>
            <w:r>
              <w:rPr>
                <w:rFonts w:hint="eastAsia" w:ascii="MS Mincho" w:hAnsi="MS Mincho" w:eastAsia="MS Mincho" w:cs="MS Mincho"/>
                <w:sz w:val="24"/>
              </w:rPr>
              <w:t>☑</w:t>
            </w:r>
            <w:r>
              <w:rPr>
                <w:rFonts w:hint="eastAsia" w:cs="宋体"/>
                <w:sz w:val="24"/>
              </w:rPr>
              <w:t>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29" w:type="dxa"/>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其他需求</w:t>
            </w:r>
          </w:p>
        </w:tc>
        <w:tc>
          <w:tcPr>
            <w:tcW w:w="8116" w:type="dxa"/>
            <w:gridSpan w:val="10"/>
            <w:tcBorders>
              <w:top w:val="single" w:color="auto" w:sz="4" w:space="0"/>
              <w:left w:val="nil"/>
              <w:bottom w:val="single" w:color="auto" w:sz="4" w:space="0"/>
              <w:right w:val="single" w:color="auto" w:sz="4" w:space="0"/>
            </w:tcBorders>
            <w:vAlign w:val="center"/>
          </w:tcPr>
          <w:p>
            <w:pPr>
              <w:pStyle w:val="7"/>
              <w:ind w:firstLine="0" w:firstLineChars="0"/>
              <w:jc w:val="left"/>
              <w:rPr>
                <w:rFonts w:ascii="Times New Roman" w:hAnsi="Times New Roman" w:cs="宋体"/>
                <w:sz w:val="24"/>
                <w:szCs w:val="24"/>
              </w:rPr>
            </w:pPr>
            <w:r>
              <w:rPr>
                <w:rFonts w:hint="eastAsia" w:ascii="Times New Roman" w:hAnsi="Times New Roman" w:cs="宋体"/>
                <w:sz w:val="24"/>
                <w:szCs w:val="24"/>
              </w:rPr>
              <w:t xml:space="preserve">□技术转移  □研发费用加计扣除  □知识产权  □科技金融 </w:t>
            </w:r>
          </w:p>
          <w:p>
            <w:pPr>
              <w:pStyle w:val="7"/>
              <w:ind w:firstLine="0" w:firstLineChars="0"/>
              <w:jc w:val="left"/>
              <w:rPr>
                <w:rFonts w:ascii="Times New Roman" w:hAnsi="Times New Roman"/>
                <w:sz w:val="24"/>
                <w:szCs w:val="24"/>
              </w:rPr>
            </w:pPr>
            <w:r>
              <w:rPr>
                <w:rFonts w:hint="eastAsia" w:ascii="Times New Roman" w:hAnsi="Times New Roman" w:cs="宋体"/>
                <w:sz w:val="24"/>
                <w:szCs w:val="24"/>
              </w:rPr>
              <w:t xml:space="preserve">□检验检测  □质量体系  </w:t>
            </w:r>
            <w:r>
              <w:rPr>
                <w:rFonts w:hint="eastAsia" w:ascii="MS Mincho" w:hAnsi="MS Mincho" w:eastAsia="MS Mincho" w:cs="MS Mincho"/>
                <w:sz w:val="24"/>
              </w:rPr>
              <w:t>☑</w:t>
            </w:r>
            <w:r>
              <w:rPr>
                <w:rFonts w:hint="eastAsia" w:ascii="Times New Roman" w:hAnsi="Times New Roman"/>
                <w:sz w:val="24"/>
                <w:szCs w:val="24"/>
              </w:rPr>
              <w:t xml:space="preserve">行业政策   </w:t>
            </w:r>
            <w:r>
              <w:rPr>
                <w:rFonts w:hint="eastAsia" w:ascii="MS Mincho" w:hAnsi="MS Mincho" w:eastAsia="MS Mincho" w:cs="MS Mincho"/>
                <w:sz w:val="24"/>
              </w:rPr>
              <w:t>☑</w:t>
            </w:r>
            <w:r>
              <w:rPr>
                <w:rFonts w:hint="eastAsia" w:ascii="Times New Roman" w:hAnsi="Times New Roman"/>
                <w:sz w:val="24"/>
                <w:szCs w:val="24"/>
              </w:rPr>
              <w:t xml:space="preserve">科技政策  □招标采购 </w:t>
            </w:r>
          </w:p>
          <w:p>
            <w:pPr>
              <w:pStyle w:val="7"/>
              <w:ind w:firstLine="0" w:firstLineChars="0"/>
              <w:jc w:val="left"/>
              <w:rPr>
                <w:rFonts w:ascii="Times New Roman" w:hAnsi="Times New Roman" w:cs="宋体"/>
                <w:sz w:val="24"/>
                <w:szCs w:val="24"/>
              </w:rPr>
            </w:pPr>
            <w:r>
              <w:rPr>
                <w:rFonts w:hint="eastAsia" w:ascii="MS Mincho" w:hAnsi="MS Mincho" w:eastAsia="MS Mincho" w:cs="MS Mincho"/>
                <w:sz w:val="24"/>
              </w:rPr>
              <w:t>☑</w:t>
            </w:r>
            <w:r>
              <w:rPr>
                <w:rFonts w:hint="eastAsia" w:ascii="Times New Roman" w:hAnsi="Times New Roman"/>
                <w:sz w:val="24"/>
                <w:szCs w:val="24"/>
              </w:rPr>
              <w:t xml:space="preserve">产品/服务市场占有率分析  </w:t>
            </w:r>
            <w:r>
              <w:rPr>
                <w:rFonts w:hint="eastAsia" w:ascii="MS Mincho" w:hAnsi="MS Mincho" w:eastAsia="MS Mincho" w:cs="MS Mincho"/>
                <w:sz w:val="24"/>
              </w:rPr>
              <w:t>☑</w:t>
            </w:r>
            <w:r>
              <w:rPr>
                <w:rFonts w:hint="eastAsia" w:ascii="Times New Roman" w:hAnsi="Times New Roman"/>
                <w:sz w:val="24"/>
                <w:szCs w:val="24"/>
              </w:rPr>
              <w:t xml:space="preserve">市场前景分析  </w:t>
            </w:r>
            <w:r>
              <w:rPr>
                <w:rFonts w:hint="eastAsia" w:ascii="MS Mincho" w:hAnsi="MS Mincho" w:eastAsia="MS Mincho" w:cs="MS Mincho"/>
                <w:sz w:val="24"/>
              </w:rPr>
              <w:t>☑</w:t>
            </w:r>
            <w:r>
              <w:rPr>
                <w:rFonts w:hint="eastAsia" w:ascii="Times New Roman" w:hAnsi="Times New Roman"/>
                <w:sz w:val="24"/>
                <w:szCs w:val="24"/>
              </w:rPr>
              <w:t>企业发展战略咨询           □其他</w:t>
            </w:r>
            <w:r>
              <w:rPr>
                <w:rFonts w:hint="eastAsia" w:ascii="Times New Roman" w:hAnsi="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11"/>
            <w:tcBorders>
              <w:top w:val="single" w:color="auto" w:sz="4" w:space="0"/>
              <w:left w:val="single" w:color="auto" w:sz="4" w:space="0"/>
              <w:bottom w:val="single" w:color="auto" w:sz="4" w:space="0"/>
              <w:right w:val="single" w:color="auto" w:sz="4" w:space="0"/>
            </w:tcBorders>
          </w:tcPr>
          <w:p>
            <w:pPr>
              <w:ind w:firstLine="0" w:firstLineChars="0"/>
              <w:jc w:val="center"/>
              <w:rPr>
                <w:rFonts w:cs="宋体"/>
                <w:sz w:val="24"/>
                <w:u w:val="single"/>
              </w:rPr>
            </w:pPr>
            <w:r>
              <w:rPr>
                <w:rFonts w:hint="eastAsia"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8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同意公开</w:t>
            </w:r>
          </w:p>
          <w:p>
            <w:pPr>
              <w:ind w:firstLine="0" w:firstLineChars="0"/>
              <w:jc w:val="center"/>
              <w:rPr>
                <w:rFonts w:cs="宋体"/>
                <w:kern w:val="0"/>
                <w:sz w:val="24"/>
              </w:rPr>
            </w:pPr>
            <w:r>
              <w:rPr>
                <w:rFonts w:hint="eastAsia" w:cs="宋体"/>
                <w:kern w:val="0"/>
                <w:sz w:val="24"/>
              </w:rPr>
              <w:t>需求信息</w:t>
            </w:r>
          </w:p>
        </w:tc>
        <w:tc>
          <w:tcPr>
            <w:tcW w:w="7056"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cs="宋体"/>
                <w:sz w:val="24"/>
              </w:rPr>
              <w:t xml:space="preserve"> </w:t>
            </w:r>
            <w:r>
              <w:rPr>
                <w:rFonts w:hint="eastAsia" w:ascii="MS Mincho" w:hAnsi="MS Mincho" w:eastAsia="MS Mincho" w:cs="MS Mincho"/>
                <w:sz w:val="24"/>
              </w:rPr>
              <w:t>☑</w:t>
            </w:r>
            <w:r>
              <w:rPr>
                <w:rFonts w:hint="eastAsia" w:cs="宋体"/>
                <w:kern w:val="0"/>
                <w:sz w:val="24"/>
              </w:rPr>
              <w:t xml:space="preserve">是                              </w:t>
            </w:r>
            <w:r>
              <w:rPr>
                <w:rFonts w:hint="eastAsia" w:cs="宋体"/>
                <w:sz w:val="24"/>
              </w:rPr>
              <w:t xml:space="preserve"> □否</w:t>
            </w:r>
          </w:p>
          <w:p>
            <w:pPr>
              <w:ind w:firstLine="0" w:firstLineChars="0"/>
              <w:rPr>
                <w:rFonts w:cs="宋体"/>
                <w:sz w:val="24"/>
                <w:u w:val="single"/>
              </w:rPr>
            </w:pPr>
            <w:r>
              <w:rPr>
                <w:rFonts w:hint="eastAsia" w:cs="宋体"/>
                <w:sz w:val="24"/>
              </w:rPr>
              <w:t xml:space="preserve"> □</w:t>
            </w:r>
            <w:r>
              <w:rPr>
                <w:rFonts w:hint="eastAsia" w:cs="宋体"/>
                <w:kern w:val="0"/>
                <w:sz w:val="24"/>
              </w:rPr>
              <w:t>部分公开(说明）</w:t>
            </w:r>
            <w:r>
              <w:rPr>
                <w:rFonts w:hint="eastAsia" w:cs="宋体"/>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6" w:hRule="atLeast"/>
        </w:trPr>
        <w:tc>
          <w:tcPr>
            <w:tcW w:w="168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同意接受</w:t>
            </w:r>
          </w:p>
          <w:p>
            <w:pPr>
              <w:ind w:firstLine="0" w:firstLineChars="0"/>
              <w:jc w:val="center"/>
              <w:rPr>
                <w:rFonts w:cs="宋体"/>
                <w:kern w:val="0"/>
                <w:sz w:val="24"/>
              </w:rPr>
            </w:pPr>
            <w:r>
              <w:rPr>
                <w:rFonts w:hint="eastAsia" w:cs="宋体"/>
                <w:kern w:val="0"/>
                <w:sz w:val="24"/>
              </w:rPr>
              <w:t>专家服务</w:t>
            </w:r>
          </w:p>
        </w:tc>
        <w:tc>
          <w:tcPr>
            <w:tcW w:w="7056"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kern w:val="0"/>
                <w:sz w:val="24"/>
              </w:rPr>
            </w:pPr>
            <w:r>
              <w:rPr>
                <w:rFonts w:hint="eastAsia" w:cs="宋体"/>
                <w:sz w:val="24"/>
              </w:rPr>
              <w:t xml:space="preserve"> </w:t>
            </w:r>
            <w:r>
              <w:rPr>
                <w:rFonts w:hint="eastAsia" w:ascii="MS Mincho" w:hAnsi="MS Mincho" w:eastAsia="MS Mincho" w:cs="MS Mincho"/>
                <w:sz w:val="24"/>
              </w:rPr>
              <w:t>☑</w:t>
            </w:r>
            <w:r>
              <w:rPr>
                <w:rFonts w:hint="eastAsia" w:cs="宋体"/>
                <w:kern w:val="0"/>
                <w:sz w:val="24"/>
              </w:rPr>
              <w:t xml:space="preserve">是                </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同意参与对解决方案的筛选评价</w:t>
            </w:r>
          </w:p>
        </w:tc>
        <w:tc>
          <w:tcPr>
            <w:tcW w:w="7056" w:type="dxa"/>
            <w:gridSpan w:val="9"/>
            <w:tcBorders>
              <w:top w:val="single" w:color="auto" w:sz="4" w:space="0"/>
              <w:left w:val="single" w:color="auto" w:sz="4" w:space="0"/>
              <w:bottom w:val="single" w:color="auto" w:sz="4" w:space="0"/>
              <w:right w:val="single" w:color="auto" w:sz="4" w:space="0"/>
            </w:tcBorders>
            <w:vAlign w:val="center"/>
          </w:tcPr>
          <w:p>
            <w:pPr>
              <w:ind w:firstLine="0" w:firstLineChars="0"/>
              <w:rPr>
                <w:rFonts w:cs="宋体"/>
                <w:kern w:val="0"/>
                <w:sz w:val="24"/>
              </w:rPr>
            </w:pPr>
            <w:r>
              <w:rPr>
                <w:rFonts w:hint="eastAsia" w:cs="宋体"/>
                <w:sz w:val="24"/>
              </w:rPr>
              <w:t xml:space="preserve"> </w:t>
            </w:r>
            <w:r>
              <w:rPr>
                <w:rFonts w:hint="eastAsia" w:ascii="MS Mincho" w:hAnsi="MS Mincho" w:eastAsia="MS Mincho" w:cs="MS Mincho"/>
                <w:sz w:val="24"/>
              </w:rPr>
              <w:t>☑</w:t>
            </w:r>
            <w:r>
              <w:rPr>
                <w:rFonts w:hint="eastAsia" w:cs="宋体"/>
                <w:kern w:val="0"/>
                <w:sz w:val="24"/>
              </w:rPr>
              <w:t>是</w:t>
            </w:r>
          </w:p>
          <w:p>
            <w:pPr>
              <w:ind w:firstLine="0" w:firstLineChars="0"/>
              <w:rPr>
                <w:rFonts w:cs="宋体"/>
                <w:kern w:val="0"/>
                <w:sz w:val="24"/>
              </w:rPr>
            </w:pPr>
            <w:r>
              <w:rPr>
                <w:rFonts w:hint="eastAsia" w:cs="宋体"/>
                <w:kern w:val="0"/>
                <w:sz w:val="24"/>
              </w:rPr>
              <w:t xml:space="preserve"> </w:t>
            </w:r>
            <w:r>
              <w:rPr>
                <w:rFonts w:hint="eastAsia" w:cs="宋体"/>
                <w:sz w:val="24"/>
              </w:rPr>
              <w:t>□</w:t>
            </w:r>
            <w:r>
              <w:rPr>
                <w:rFonts w:hint="eastAsia"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89" w:type="dxa"/>
            <w:gridSpan w:val="2"/>
            <w:tcBorders>
              <w:top w:val="single" w:color="auto" w:sz="4" w:space="0"/>
              <w:left w:val="single" w:color="auto" w:sz="4" w:space="0"/>
              <w:bottom w:val="single" w:color="auto" w:sz="4" w:space="0"/>
              <w:right w:val="single" w:color="auto" w:sz="4" w:space="0"/>
            </w:tcBorders>
            <w:vAlign w:val="center"/>
          </w:tcPr>
          <w:p>
            <w:pPr>
              <w:ind w:firstLine="0" w:firstLineChars="0"/>
              <w:jc w:val="center"/>
              <w:rPr>
                <w:rFonts w:cs="宋体"/>
                <w:kern w:val="0"/>
                <w:sz w:val="24"/>
              </w:rPr>
            </w:pPr>
            <w:r>
              <w:rPr>
                <w:rFonts w:hint="eastAsia" w:cs="宋体"/>
                <w:kern w:val="0"/>
                <w:sz w:val="24"/>
              </w:rPr>
              <w:t>同意对优秀解决方案给予奖励</w:t>
            </w:r>
          </w:p>
        </w:tc>
        <w:tc>
          <w:tcPr>
            <w:tcW w:w="7056" w:type="dxa"/>
            <w:gridSpan w:val="9"/>
            <w:tcBorders>
              <w:top w:val="single" w:color="auto" w:sz="4" w:space="0"/>
              <w:left w:val="single" w:color="auto" w:sz="4" w:space="0"/>
              <w:bottom w:val="single" w:color="auto" w:sz="4" w:space="0"/>
              <w:right w:val="single" w:color="auto" w:sz="4" w:space="0"/>
            </w:tcBorders>
          </w:tcPr>
          <w:p>
            <w:pPr>
              <w:ind w:firstLine="0" w:firstLineChars="0"/>
              <w:rPr>
                <w:rFonts w:cs="宋体"/>
                <w:sz w:val="24"/>
              </w:rPr>
            </w:pPr>
            <w:r>
              <w:rPr>
                <w:rFonts w:hint="eastAsia" w:ascii="MS Mincho" w:hAnsi="MS Mincho" w:eastAsia="MS Mincho" w:cs="MS Mincho"/>
                <w:sz w:val="24"/>
              </w:rPr>
              <w:t>☑</w:t>
            </w:r>
            <w:r>
              <w:rPr>
                <w:rFonts w:hint="eastAsia" w:cs="宋体"/>
                <w:kern w:val="0"/>
                <w:sz w:val="24"/>
              </w:rPr>
              <w:t>是，金额</w:t>
            </w:r>
            <w:r>
              <w:rPr>
                <w:rFonts w:hint="eastAsia" w:cs="宋体"/>
                <w:sz w:val="24"/>
                <w:u w:val="single"/>
              </w:rPr>
              <w:t xml:space="preserve">       面议     </w:t>
            </w:r>
            <w:r>
              <w:rPr>
                <w:rFonts w:hint="eastAsia" w:cs="宋体"/>
                <w:sz w:val="24"/>
              </w:rPr>
              <w:t>万元。</w:t>
            </w:r>
            <w:r>
              <w:rPr>
                <w:rFonts w:hint="eastAsia" w:cs="宋体"/>
                <w:kern w:val="0"/>
                <w:sz w:val="24"/>
              </w:rPr>
              <w:t>（奖金仅用作奖励现场参赛者，不作为技术转让、技术许可或其他独占性合作的前提条件）</w:t>
            </w:r>
          </w:p>
          <w:p>
            <w:pPr>
              <w:ind w:firstLine="0" w:firstLineChars="0"/>
              <w:rPr>
                <w:rFonts w:cs="宋体"/>
                <w:kern w:val="0"/>
                <w:sz w:val="24"/>
              </w:rPr>
            </w:pPr>
            <w:r>
              <w:rPr>
                <w:rFonts w:hint="eastAsia" w:cs="宋体"/>
                <w:sz w:val="24"/>
              </w:rPr>
              <w:t xml:space="preserve"> □</w:t>
            </w:r>
            <w:r>
              <w:rPr>
                <w:rFonts w:hint="eastAsia" w:cs="宋体"/>
                <w:kern w:val="0"/>
                <w:sz w:val="24"/>
              </w:rPr>
              <w:t>否</w:t>
            </w:r>
          </w:p>
          <w:p>
            <w:pPr>
              <w:ind w:firstLine="0" w:firstLineChars="0"/>
              <w:rPr>
                <w:rFonts w:cs="宋体"/>
                <w:kern w:val="0"/>
                <w:sz w:val="24"/>
              </w:rPr>
            </w:pPr>
            <w:r>
              <w:rPr>
                <w:rFonts w:hint="eastAsia" w:cs="宋体"/>
                <w:kern w:val="0"/>
                <w:sz w:val="24"/>
              </w:rPr>
              <w:br w:type="textWrapping"/>
            </w:r>
            <w:r>
              <w:rPr>
                <w:rFonts w:hint="eastAsia" w:cs="宋体"/>
                <w:kern w:val="0"/>
                <w:sz w:val="24"/>
              </w:rPr>
              <w:t xml:space="preserve">                  法人代表：李祥泉      2018年 8 月  7日</w:t>
            </w:r>
          </w:p>
        </w:tc>
      </w:tr>
    </w:tbl>
    <w:p>
      <w:pPr>
        <w:ind w:firstLine="0" w:firstLineChars="0"/>
      </w:pPr>
      <w:r>
        <w:rPr>
          <w:rFonts w:hint="eastAsia" w:ascii="仿宋_GB2312" w:hAnsi="仿宋_GB2312" w:cs="仿宋_GB2312"/>
          <w:b/>
          <w:bCs/>
          <w:szCs w:val="32"/>
        </w:rPr>
        <w:t>※</w:t>
      </w:r>
      <w:r>
        <w:rPr>
          <w:rFonts w:hint="eastAsia"/>
          <w:b/>
          <w:bCs/>
          <w:szCs w:val="32"/>
        </w:rPr>
        <w:t>请务必确认“同意公开需求信息”一栏填“是”</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27BF"/>
    <w:multiLevelType w:val="multilevel"/>
    <w:tmpl w:val="35C327BF"/>
    <w:lvl w:ilvl="0" w:tentative="0">
      <w:start w:val="1"/>
      <w:numFmt w:val="decimal"/>
      <w:lvlText w:val="%1、"/>
      <w:lvlJc w:val="left"/>
      <w:pPr>
        <w:ind w:left="720" w:hanging="360"/>
      </w:pPr>
      <w:rPr>
        <w:rFonts w:hint="default"/>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3A05019B"/>
    <w:multiLevelType w:val="multilevel"/>
    <w:tmpl w:val="3A05019B"/>
    <w:lvl w:ilvl="0" w:tentative="0">
      <w:start w:val="1"/>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5A3A4CBE"/>
    <w:multiLevelType w:val="singleLevel"/>
    <w:tmpl w:val="5A3A4CBE"/>
    <w:lvl w:ilvl="0" w:tentative="0">
      <w:start w:val="2"/>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9D0F56"/>
    <w:rsid w:val="139D0F56"/>
    <w:rsid w:val="6D535020"/>
    <w:rsid w:val="74B66C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880" w:firstLineChars="200"/>
      <w:jc w:val="both"/>
    </w:pPr>
    <w:rPr>
      <w:rFonts w:ascii="Times New Roman" w:hAnsi="Times New Roman" w:eastAsia="仿宋_GB2312" w:cstheme="minorBidi"/>
      <w:kern w:val="2"/>
      <w:sz w:val="32"/>
      <w:szCs w:val="24"/>
      <w:lang w:val="en-US" w:eastAsia="zh-CN" w:bidi="ar-SA"/>
    </w:rPr>
  </w:style>
  <w:style w:type="paragraph" w:styleId="2">
    <w:name w:val="heading 1"/>
    <w:basedOn w:val="3"/>
    <w:next w:val="1"/>
    <w:qFormat/>
    <w:uiPriority w:val="0"/>
    <w:pPr>
      <w:keepNext/>
      <w:keepLines/>
      <w:spacing w:line="576" w:lineRule="auto"/>
      <w:ind w:firstLine="0" w:firstLineChars="0"/>
    </w:pPr>
    <w:rPr>
      <w:rFonts w:ascii="Times New Roman" w:hAnsi="Times New Roman" w:eastAsia="方正小标宋简体"/>
      <w:b w:val="0"/>
      <w:kern w:val="44"/>
      <w:sz w:val="44"/>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Title"/>
    <w:basedOn w:val="1"/>
    <w:qFormat/>
    <w:uiPriority w:val="0"/>
    <w:pPr>
      <w:jc w:val="center"/>
      <w:outlineLvl w:val="0"/>
    </w:pPr>
    <w:rPr>
      <w:rFonts w:ascii="Arial" w:hAnsi="Arial"/>
      <w:b/>
    </w:rPr>
  </w:style>
  <w:style w:type="paragraph" w:styleId="6">
    <w:name w:val="List Paragraph"/>
    <w:basedOn w:val="1"/>
    <w:qFormat/>
    <w:uiPriority w:val="34"/>
    <w:pPr>
      <w:ind w:firstLine="420"/>
    </w:pPr>
    <w:rPr>
      <w:rFonts w:asciiTheme="minorHAnsi" w:hAnsiTheme="minorHAnsi" w:eastAsiaTheme="minorEastAsia"/>
      <w:sz w:val="21"/>
      <w:szCs w:val="22"/>
    </w:rPr>
  </w:style>
  <w:style w:type="paragraph" w:customStyle="1" w:styleId="7">
    <w:name w:val="List Paragraph1"/>
    <w:basedOn w:val="1"/>
    <w:qFormat/>
    <w:uiPriority w:val="0"/>
    <w:pPr>
      <w:ind w:firstLine="420"/>
    </w:pPr>
    <w:rPr>
      <w:rFonts w:ascii="Calibri" w:hAnsi="Calibri"/>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c\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2018-08-10T08:38:00Z</dcterms:created>
  <dc:creator>三千1404173486</dc:creator>
  <cp:lastModifiedBy>张明星</cp:lastModifiedBy>
  <dcterms:modified xsi:type="dcterms:W3CDTF">2018-08-13T02:16:03Z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