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技术创新需求调查表</w:t>
      </w:r>
    </w:p>
    <w:tbl>
      <w:tblPr>
        <w:tblStyle w:val="7"/>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海门慧聚药业有限公司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718554707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南通海门</w:t>
            </w:r>
          </w:p>
        </w:tc>
        <w:tc>
          <w:tcPr>
            <w:tcW w:w="1158"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陈俊</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电话</w:t>
            </w:r>
          </w:p>
        </w:tc>
        <w:tc>
          <w:tcPr>
            <w:tcW w:w="1341"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0513-81292263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有机化学</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bCs/>
                <w:color w:val="000000"/>
                <w:sz w:val="22"/>
                <w:szCs w:val="22"/>
              </w:rPr>
              <w:t>18472</w:t>
            </w:r>
            <w:r>
              <w:rPr>
                <w:rFonts w:hint="eastAsia"/>
                <w:bCs/>
                <w:color w:val="000000"/>
                <w:sz w:val="22"/>
                <w:szCs w:val="22"/>
                <w:lang w:val="en-US" w:eastAsia="zh-CN"/>
              </w:rPr>
              <w:t>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w:t>
            </w:r>
          </w:p>
          <w:p>
            <w:pPr>
              <w:jc w:val="center"/>
              <w:rPr>
                <w:rFonts w:hint="eastAsia" w:ascii="仿宋_GB2312" w:hAnsi="宋体" w:eastAsia="仿宋_GB2312" w:cs="宋体"/>
                <w:sz w:val="24"/>
              </w:rPr>
            </w:pPr>
            <w:r>
              <w:rPr>
                <w:rFonts w:hint="eastAsia" w:ascii="仿宋_GB2312" w:hAnsi="宋体" w:eastAsia="仿宋_GB2312" w:cs="宋体"/>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□技术研发（关键、核心技术）</w:t>
            </w:r>
          </w:p>
          <w:p>
            <w:pPr>
              <w:rPr>
                <w:rFonts w:hint="eastAsia"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sz w:val="24"/>
              </w:rPr>
              <w:t>产品研发（产品升级、新产品研发）</w:t>
            </w:r>
          </w:p>
          <w:p>
            <w:pPr>
              <w:rPr>
                <w:rFonts w:hint="eastAsia" w:ascii="仿宋_GB2312" w:hAnsi="宋体" w:eastAsia="仿宋_GB2312" w:cs="宋体"/>
                <w:sz w:val="24"/>
              </w:rPr>
            </w:pPr>
            <w:r>
              <w:rPr>
                <w:rFonts w:hint="eastAsia" w:ascii="仿宋_GB2312" w:hAnsi="宋体" w:eastAsia="仿宋_GB2312" w:cs="宋体"/>
                <w:sz w:val="24"/>
              </w:rPr>
              <w:t>□技术改造（设备、研发生产条件）</w:t>
            </w:r>
          </w:p>
          <w:p>
            <w:pPr>
              <w:rPr>
                <w:rFonts w:hint="eastAsia"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spacing w:line="400" w:lineRule="exact"/>
              <w:ind w:firstLine="482"/>
              <w:rPr>
                <w:rFonts w:hint="eastAsia" w:ascii="仿宋_GB2312" w:hAnsi="宋体" w:eastAsia="仿宋_GB2312"/>
                <w:b/>
                <w:bCs/>
                <w:color w:val="000000"/>
                <w:szCs w:val="21"/>
                <w:lang w:val="en-US" w:eastAsia="zh-CN"/>
              </w:rPr>
            </w:pPr>
            <w:r>
              <w:rPr>
                <w:rFonts w:hint="eastAsia" w:ascii="仿宋_GB2312" w:hAnsi="宋体" w:eastAsia="仿宋_GB2312"/>
                <w:b/>
                <w:bCs/>
                <w:color w:val="000000"/>
                <w:szCs w:val="21"/>
                <w:lang w:val="en-US" w:eastAsia="zh-CN"/>
              </w:rPr>
              <w:t>高能效污水处理技术</w:t>
            </w:r>
          </w:p>
          <w:p>
            <w:pPr>
              <w:rPr>
                <w:rFonts w:hint="eastAsia" w:ascii="仿宋_GB2312" w:hAnsi="宋体" w:eastAsia="仿宋_GB2312" w:cs="宋体"/>
                <w:sz w:val="24"/>
              </w:rPr>
            </w:pPr>
            <w:r>
              <w:rPr>
                <w:rFonts w:hint="eastAsia" w:ascii="仿宋_GB2312" w:hAnsi="宋体" w:eastAsia="仿宋_GB2312"/>
                <w:color w:val="000000"/>
                <w:szCs w:val="21"/>
              </w:rPr>
              <w:t>污水处理是能源密集型的综合技术，一段时期以来，能耗大、运行费用高一定程度上阻碍了我公司的污水处理厂的建设。在今后相当长的一段时间内，能耗问题将成为我公司生产的瓶颈，开发能效较高的污水处理技术，合理设计及运行污水处理厂，是我公司设计和运行的必由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spacing w:line="400" w:lineRule="exact"/>
              <w:ind w:firstLine="482"/>
              <w:rPr>
                <w:rFonts w:hint="eastAsia" w:ascii="仿宋_GB2312" w:hAnsi="宋体" w:eastAsia="仿宋_GB2312"/>
                <w:b/>
                <w:bCs/>
                <w:color w:val="000000"/>
                <w:szCs w:val="21"/>
                <w:lang w:val="en-US" w:eastAsia="zh-CN"/>
              </w:rPr>
            </w:pPr>
            <w:r>
              <w:rPr>
                <w:rFonts w:hint="eastAsia" w:ascii="仿宋_GB2312" w:hAnsi="宋体" w:eastAsia="仿宋_GB2312"/>
                <w:b/>
                <w:bCs/>
                <w:color w:val="000000"/>
                <w:szCs w:val="21"/>
                <w:lang w:val="en-US" w:eastAsia="zh-CN"/>
              </w:rPr>
              <w:t>高能效污水处理技术</w:t>
            </w:r>
          </w:p>
          <w:p>
            <w:pPr>
              <w:spacing w:line="400" w:lineRule="exact"/>
              <w:ind w:firstLine="482"/>
              <w:rPr>
                <w:rFonts w:ascii="仿宋_GB2312" w:hAnsi="宋体" w:eastAsia="仿宋_GB2312"/>
                <w:color w:val="000000"/>
                <w:szCs w:val="21"/>
              </w:rPr>
            </w:pPr>
            <w:r>
              <w:rPr>
                <w:rFonts w:hint="eastAsia" w:ascii="仿宋_GB2312" w:hAnsi="宋体" w:eastAsia="仿宋_GB2312"/>
                <w:color w:val="000000"/>
                <w:szCs w:val="21"/>
              </w:rPr>
              <w:t>污水处理是能源密集型的综合技术，一段时期以来，能耗大、运行费用高一定程度上阻碍了我公司的污水处理厂的建设。在今后相当长的一段时间内，能耗问题将成为我公司生产的瓶颈，开发能效较高的污水处理技术，合理设计及运行污水处理厂，是我公司设计和运行的必由之路。污水处理技术存在如下问题：</w:t>
            </w:r>
          </w:p>
          <w:p>
            <w:pPr>
              <w:spacing w:line="400" w:lineRule="exact"/>
              <w:ind w:firstLine="482"/>
              <w:rPr>
                <w:rFonts w:hint="eastAsia" w:ascii="仿宋_GB2312" w:hAnsi="宋体" w:eastAsia="仿宋_GB2312"/>
                <w:color w:val="000000"/>
                <w:szCs w:val="21"/>
              </w:rPr>
            </w:pPr>
            <w:r>
              <w:rPr>
                <w:rFonts w:hint="eastAsia" w:ascii="仿宋_GB2312" w:hAnsi="宋体" w:eastAsia="仿宋_GB2312"/>
                <w:color w:val="000000"/>
                <w:szCs w:val="21"/>
              </w:rPr>
              <w:t>①一级处理，主要去除污水中呈悬浮状态的固体污染物质BOD、COD，去除30%；</w:t>
            </w:r>
          </w:p>
          <w:p>
            <w:pPr>
              <w:rPr>
                <w:rFonts w:hint="eastAsia" w:ascii="仿宋_GB2312" w:hAnsi="宋体" w:eastAsia="仿宋_GB2312" w:cs="宋体"/>
                <w:sz w:val="24"/>
              </w:rPr>
            </w:pPr>
            <w:r>
              <w:rPr>
                <w:rFonts w:hint="eastAsia" w:ascii="仿宋_GB2312" w:hAnsi="宋体" w:eastAsia="仿宋_GB2312"/>
                <w:color w:val="000000"/>
                <w:szCs w:val="21"/>
              </w:rPr>
              <w:t>②二级处理，主要去除污水中呈胶体和溶解状态的有机污染物质（BOD、COD物质），去除率达90%。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现有</w:t>
            </w:r>
          </w:p>
          <w:p>
            <w:pPr>
              <w:jc w:val="center"/>
              <w:rPr>
                <w:rFonts w:hint="eastAsia" w:ascii="仿宋_GB2312" w:hAnsi="宋体" w:eastAsia="仿宋_GB2312" w:cs="宋体"/>
                <w:sz w:val="24"/>
              </w:rPr>
            </w:pPr>
            <w:r>
              <w:rPr>
                <w:rFonts w:hint="eastAsia" w:ascii="仿宋_GB2312" w:hAnsi="宋体" w:eastAsia="仿宋_GB2312" w:cs="宋体"/>
                <w:sz w:val="24"/>
              </w:rPr>
              <w:t>基础</w:t>
            </w:r>
          </w:p>
          <w:p>
            <w:pPr>
              <w:jc w:val="center"/>
              <w:rPr>
                <w:rFonts w:hint="eastAsia" w:ascii="仿宋_GB2312" w:hAnsi="宋体" w:eastAsia="仿宋_GB2312" w:cs="宋体"/>
                <w:sz w:val="24"/>
              </w:rPr>
            </w:pPr>
            <w:r>
              <w:rPr>
                <w:rFonts w:hint="eastAsia" w:ascii="仿宋_GB2312" w:hAnsi="宋体" w:eastAsia="仿宋_GB2312" w:cs="宋体"/>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ind w:firstLine="440" w:firstLineChars="200"/>
              <w:rPr>
                <w:rFonts w:hint="eastAsia" w:ascii="仿宋_GB2312" w:hAnsi="宋体" w:eastAsia="仿宋_GB2312" w:cs="宋体"/>
                <w:sz w:val="24"/>
              </w:rPr>
            </w:pPr>
            <w:r>
              <w:rPr>
                <w:rFonts w:hint="eastAsia" w:ascii="仿宋_GB2312" w:hAnsi="宋体" w:eastAsia="仿宋_GB2312" w:cs="宋体"/>
                <w:kern w:val="0"/>
                <w:szCs w:val="21"/>
              </w:rPr>
              <w:t>公司研发中心占地14000平方米。拥有6个设施齐全多功能研发实验室、1个专业化的抗肿瘤药物研发实验室，可以容纳200多位研究人员同时进行实验研究工作。生产车间配备公斤级、中试级、扩试级、商业化生产级梯度齐全的生产设备及配套国际顶级分析仪器的检测设施，14条专用或多用的GMP生产线，设置6个洁净生产产房。多条生产线已经通过FDA、EDQM、PMDA审计，取得SFDA、EDQM、FDA、PMDA的GMP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hint="eastAsia" w:ascii="仿宋" w:hAnsi="仿宋" w:eastAsia="仿宋" w:cs="仿宋"/>
                <w:szCs w:val="21"/>
              </w:rPr>
            </w:pPr>
            <w:r>
              <w:rPr>
                <w:rFonts w:hint="eastAsia" w:ascii="仿宋" w:hAnsi="仿宋" w:eastAsia="仿宋" w:cs="仿宋"/>
                <w:szCs w:val="21"/>
              </w:rPr>
              <w:t>有成功运行的实施案例。</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合作</w:t>
            </w:r>
          </w:p>
          <w:p>
            <w:pPr>
              <w:jc w:val="center"/>
              <w:rPr>
                <w:rFonts w:hint="eastAsia" w:ascii="仿宋_GB2312" w:hAnsi="宋体" w:eastAsia="仿宋_GB2312" w:cs="宋体"/>
                <w:sz w:val="24"/>
              </w:rPr>
            </w:pPr>
            <w:r>
              <w:rPr>
                <w:rFonts w:hint="eastAsia" w:ascii="仿宋_GB2312" w:hAnsi="宋体" w:eastAsia="仿宋_GB2312" w:cs="宋体"/>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联合开发   □委托研发 </w:t>
            </w:r>
          </w:p>
          <w:p>
            <w:pPr>
              <w:rPr>
                <w:rFonts w:hint="eastAsia"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1"/>
              <w:ind w:firstLine="0" w:firstLineChars="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1"/>
              <w:ind w:firstLine="0" w:firstLineChars="0"/>
              <w:jc w:val="left"/>
              <w:rPr>
                <w:rFonts w:hint="eastAsia"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1"/>
              <w:ind w:firstLine="0" w:firstLineChars="0"/>
              <w:jc w:val="left"/>
              <w:rPr>
                <w:rFonts w:hint="eastAsia"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同意公开</w:t>
            </w:r>
          </w:p>
          <w:p>
            <w:pPr>
              <w:jc w:val="center"/>
              <w:rPr>
                <w:rFonts w:hint="eastAsia" w:ascii="仿宋_GB2312" w:hAnsi="宋体" w:eastAsia="仿宋_GB2312" w:cs="宋体"/>
                <w:sz w:val="24"/>
              </w:rPr>
            </w:pPr>
            <w:r>
              <w:rPr>
                <w:rFonts w:hint="eastAsia" w:ascii="仿宋_GB2312" w:hAnsi="宋体" w:eastAsia="仿宋_GB2312" w:cs="宋体"/>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是                               □否</w:t>
            </w:r>
          </w:p>
          <w:p>
            <w:pPr>
              <w:rPr>
                <w:rFonts w:hint="eastAsia" w:ascii="仿宋_GB2312" w:hAnsi="宋体" w:eastAsia="仿宋_GB2312" w:cs="宋体"/>
                <w:sz w:val="24"/>
                <w:u w:val="single"/>
              </w:rPr>
            </w:pPr>
            <w:r>
              <w:rPr>
                <w:rFonts w:hint="eastAsia" w:ascii="仿宋_GB2312" w:hAnsi="宋体" w:eastAsia="仿宋_GB2312" w:cs="宋体"/>
                <w:sz w:val="24"/>
              </w:rPr>
              <w:t xml:space="preserve"> □部分公开(说明）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同意接受</w:t>
            </w:r>
          </w:p>
          <w:p>
            <w:pPr>
              <w:jc w:val="center"/>
              <w:rPr>
                <w:rFonts w:hint="eastAsia" w:ascii="仿宋_GB2312" w:hAnsi="宋体" w:eastAsia="仿宋_GB2312" w:cs="宋体"/>
                <w:sz w:val="24"/>
              </w:rPr>
            </w:pPr>
            <w:r>
              <w:rPr>
                <w:rFonts w:hint="eastAsia" w:ascii="仿宋_GB2312" w:hAnsi="宋体" w:eastAsia="仿宋_GB2312" w:cs="宋体"/>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是                </w:t>
            </w:r>
          </w:p>
          <w:p>
            <w:pPr>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是</w:t>
            </w:r>
          </w:p>
          <w:p>
            <w:pPr>
              <w:jc w:val="both"/>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万元。（奖金仅用作奖励现场参赛者，不作为技术转让、技术许可或其他独占性合作的前提条件）</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否</w:t>
            </w: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pPr>
        <w:spacing w:after="0" w:line="520" w:lineRule="exact"/>
        <w:ind w:firstLine="640" w:firstLineChars="200"/>
        <w:rPr>
          <w:rFonts w:hint="eastAsia" w:ascii="仿宋_GB2312" w:eastAsia="仿宋_GB2312"/>
          <w:sz w:val="32"/>
          <w:szCs w:val="32"/>
        </w:rPr>
      </w:pPr>
    </w:p>
    <w:sectPr>
      <w:pgSz w:w="11906" w:h="16838"/>
      <w:pgMar w:top="1701" w:right="1474" w:bottom="1588" w:left="158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1F"/>
    <w:rsid w:val="00007177"/>
    <w:rsid w:val="000076AD"/>
    <w:rsid w:val="00020DC3"/>
    <w:rsid w:val="00032B86"/>
    <w:rsid w:val="00033EF3"/>
    <w:rsid w:val="000365E4"/>
    <w:rsid w:val="000434AE"/>
    <w:rsid w:val="00065762"/>
    <w:rsid w:val="000712CF"/>
    <w:rsid w:val="000724ED"/>
    <w:rsid w:val="00093FB4"/>
    <w:rsid w:val="000A1F5F"/>
    <w:rsid w:val="000A2DE6"/>
    <w:rsid w:val="000A5865"/>
    <w:rsid w:val="000C1023"/>
    <w:rsid w:val="000C1607"/>
    <w:rsid w:val="000C7889"/>
    <w:rsid w:val="000E2776"/>
    <w:rsid w:val="000E3641"/>
    <w:rsid w:val="000E4384"/>
    <w:rsid w:val="000E7190"/>
    <w:rsid w:val="000E7F1C"/>
    <w:rsid w:val="000F6866"/>
    <w:rsid w:val="00101EC8"/>
    <w:rsid w:val="00117C10"/>
    <w:rsid w:val="001220F1"/>
    <w:rsid w:val="00126E5C"/>
    <w:rsid w:val="001439B9"/>
    <w:rsid w:val="00157785"/>
    <w:rsid w:val="00163BF8"/>
    <w:rsid w:val="001725BB"/>
    <w:rsid w:val="001A1992"/>
    <w:rsid w:val="001B0C9D"/>
    <w:rsid w:val="001B3E48"/>
    <w:rsid w:val="001B68F6"/>
    <w:rsid w:val="001C04F0"/>
    <w:rsid w:val="001C06A0"/>
    <w:rsid w:val="001C3E61"/>
    <w:rsid w:val="001C422C"/>
    <w:rsid w:val="001D01EE"/>
    <w:rsid w:val="001F3580"/>
    <w:rsid w:val="001F565C"/>
    <w:rsid w:val="0020614F"/>
    <w:rsid w:val="0020648F"/>
    <w:rsid w:val="00212A48"/>
    <w:rsid w:val="002142F7"/>
    <w:rsid w:val="00222888"/>
    <w:rsid w:val="00234318"/>
    <w:rsid w:val="00235F6F"/>
    <w:rsid w:val="00242092"/>
    <w:rsid w:val="0024393B"/>
    <w:rsid w:val="00245AB7"/>
    <w:rsid w:val="00256A7B"/>
    <w:rsid w:val="00260D4A"/>
    <w:rsid w:val="0026152A"/>
    <w:rsid w:val="00261FEB"/>
    <w:rsid w:val="00265189"/>
    <w:rsid w:val="00275103"/>
    <w:rsid w:val="002A1002"/>
    <w:rsid w:val="002B0D41"/>
    <w:rsid w:val="002B5533"/>
    <w:rsid w:val="002C017C"/>
    <w:rsid w:val="002D4FDD"/>
    <w:rsid w:val="002F0196"/>
    <w:rsid w:val="002F352A"/>
    <w:rsid w:val="002F392A"/>
    <w:rsid w:val="002F6A40"/>
    <w:rsid w:val="002F6A49"/>
    <w:rsid w:val="00301C58"/>
    <w:rsid w:val="00303345"/>
    <w:rsid w:val="0030538C"/>
    <w:rsid w:val="003215B8"/>
    <w:rsid w:val="00323B43"/>
    <w:rsid w:val="00355ADA"/>
    <w:rsid w:val="003630DC"/>
    <w:rsid w:val="00365291"/>
    <w:rsid w:val="0036632C"/>
    <w:rsid w:val="00367AA2"/>
    <w:rsid w:val="00381710"/>
    <w:rsid w:val="003A2050"/>
    <w:rsid w:val="003B1496"/>
    <w:rsid w:val="003C6F4F"/>
    <w:rsid w:val="003D37D8"/>
    <w:rsid w:val="003D5801"/>
    <w:rsid w:val="003E78F3"/>
    <w:rsid w:val="003F065A"/>
    <w:rsid w:val="003F237D"/>
    <w:rsid w:val="00400A39"/>
    <w:rsid w:val="00412F59"/>
    <w:rsid w:val="00414962"/>
    <w:rsid w:val="00415A86"/>
    <w:rsid w:val="00415AA0"/>
    <w:rsid w:val="00417648"/>
    <w:rsid w:val="00422363"/>
    <w:rsid w:val="00425183"/>
    <w:rsid w:val="00426133"/>
    <w:rsid w:val="004358AB"/>
    <w:rsid w:val="00440FE5"/>
    <w:rsid w:val="004439BE"/>
    <w:rsid w:val="00452D7D"/>
    <w:rsid w:val="00453380"/>
    <w:rsid w:val="004612DB"/>
    <w:rsid w:val="0046562D"/>
    <w:rsid w:val="00472A41"/>
    <w:rsid w:val="0047480F"/>
    <w:rsid w:val="004827D0"/>
    <w:rsid w:val="004862AF"/>
    <w:rsid w:val="0048733C"/>
    <w:rsid w:val="00495132"/>
    <w:rsid w:val="00495DEF"/>
    <w:rsid w:val="0049628C"/>
    <w:rsid w:val="004A0DD5"/>
    <w:rsid w:val="004A4BD6"/>
    <w:rsid w:val="004A5F8E"/>
    <w:rsid w:val="004A60DD"/>
    <w:rsid w:val="004B16ED"/>
    <w:rsid w:val="004C669E"/>
    <w:rsid w:val="004C7154"/>
    <w:rsid w:val="004D2506"/>
    <w:rsid w:val="004E5491"/>
    <w:rsid w:val="004F5673"/>
    <w:rsid w:val="00502272"/>
    <w:rsid w:val="005126DE"/>
    <w:rsid w:val="00516A3F"/>
    <w:rsid w:val="00520BD2"/>
    <w:rsid w:val="00522630"/>
    <w:rsid w:val="00523DB4"/>
    <w:rsid w:val="00533633"/>
    <w:rsid w:val="00554458"/>
    <w:rsid w:val="005553D7"/>
    <w:rsid w:val="00563E98"/>
    <w:rsid w:val="0056448F"/>
    <w:rsid w:val="00570977"/>
    <w:rsid w:val="00586D7E"/>
    <w:rsid w:val="005930FF"/>
    <w:rsid w:val="005A05BD"/>
    <w:rsid w:val="005A24D2"/>
    <w:rsid w:val="005B57B7"/>
    <w:rsid w:val="005C26D5"/>
    <w:rsid w:val="005C2FAE"/>
    <w:rsid w:val="005C30A4"/>
    <w:rsid w:val="005C5944"/>
    <w:rsid w:val="005D29AC"/>
    <w:rsid w:val="005E2FAB"/>
    <w:rsid w:val="005F03A6"/>
    <w:rsid w:val="005F0D29"/>
    <w:rsid w:val="005F2B82"/>
    <w:rsid w:val="0061368C"/>
    <w:rsid w:val="006157BF"/>
    <w:rsid w:val="00632132"/>
    <w:rsid w:val="00641B15"/>
    <w:rsid w:val="00645F86"/>
    <w:rsid w:val="00655626"/>
    <w:rsid w:val="00662B55"/>
    <w:rsid w:val="00662BED"/>
    <w:rsid w:val="00666D31"/>
    <w:rsid w:val="006716D3"/>
    <w:rsid w:val="00672688"/>
    <w:rsid w:val="00674C53"/>
    <w:rsid w:val="006845B2"/>
    <w:rsid w:val="006A4808"/>
    <w:rsid w:val="006B07F2"/>
    <w:rsid w:val="006B45A7"/>
    <w:rsid w:val="006B6AA2"/>
    <w:rsid w:val="006D5EC1"/>
    <w:rsid w:val="006D6105"/>
    <w:rsid w:val="006E0015"/>
    <w:rsid w:val="006E4662"/>
    <w:rsid w:val="006F437F"/>
    <w:rsid w:val="0070114D"/>
    <w:rsid w:val="00703B2E"/>
    <w:rsid w:val="00714E1F"/>
    <w:rsid w:val="00717638"/>
    <w:rsid w:val="00722623"/>
    <w:rsid w:val="00727B9E"/>
    <w:rsid w:val="00740CE0"/>
    <w:rsid w:val="007457A1"/>
    <w:rsid w:val="00747D61"/>
    <w:rsid w:val="00757376"/>
    <w:rsid w:val="00772D19"/>
    <w:rsid w:val="007733AD"/>
    <w:rsid w:val="00780A66"/>
    <w:rsid w:val="00783F4C"/>
    <w:rsid w:val="0078509C"/>
    <w:rsid w:val="00796E61"/>
    <w:rsid w:val="007A6839"/>
    <w:rsid w:val="007A7A92"/>
    <w:rsid w:val="007C23AD"/>
    <w:rsid w:val="007E7138"/>
    <w:rsid w:val="00805BE7"/>
    <w:rsid w:val="008116EF"/>
    <w:rsid w:val="00822135"/>
    <w:rsid w:val="00823FFD"/>
    <w:rsid w:val="00826153"/>
    <w:rsid w:val="00841137"/>
    <w:rsid w:val="008544C7"/>
    <w:rsid w:val="008607EF"/>
    <w:rsid w:val="00861DB0"/>
    <w:rsid w:val="008628BA"/>
    <w:rsid w:val="00864961"/>
    <w:rsid w:val="008677BF"/>
    <w:rsid w:val="0088409E"/>
    <w:rsid w:val="00886F2C"/>
    <w:rsid w:val="00894B07"/>
    <w:rsid w:val="008A5CEF"/>
    <w:rsid w:val="008B5B59"/>
    <w:rsid w:val="008B7726"/>
    <w:rsid w:val="008C0FA6"/>
    <w:rsid w:val="008C5D3F"/>
    <w:rsid w:val="008C6682"/>
    <w:rsid w:val="008E09E3"/>
    <w:rsid w:val="008E6CCC"/>
    <w:rsid w:val="008F11E9"/>
    <w:rsid w:val="008F440F"/>
    <w:rsid w:val="00907E7C"/>
    <w:rsid w:val="0092152C"/>
    <w:rsid w:val="00921B7C"/>
    <w:rsid w:val="00931778"/>
    <w:rsid w:val="00933EDF"/>
    <w:rsid w:val="00935BD1"/>
    <w:rsid w:val="00947F8B"/>
    <w:rsid w:val="00957BCF"/>
    <w:rsid w:val="00960E82"/>
    <w:rsid w:val="00961296"/>
    <w:rsid w:val="00962831"/>
    <w:rsid w:val="00967EC6"/>
    <w:rsid w:val="00971BAC"/>
    <w:rsid w:val="0098763E"/>
    <w:rsid w:val="009A7EDD"/>
    <w:rsid w:val="009B2FFE"/>
    <w:rsid w:val="009B6A53"/>
    <w:rsid w:val="009B7C4D"/>
    <w:rsid w:val="009D3CCB"/>
    <w:rsid w:val="009F1D3C"/>
    <w:rsid w:val="00A028BA"/>
    <w:rsid w:val="00A058BE"/>
    <w:rsid w:val="00A11976"/>
    <w:rsid w:val="00A12B96"/>
    <w:rsid w:val="00A33268"/>
    <w:rsid w:val="00A3327A"/>
    <w:rsid w:val="00A37A58"/>
    <w:rsid w:val="00A37C63"/>
    <w:rsid w:val="00A4686D"/>
    <w:rsid w:val="00A57566"/>
    <w:rsid w:val="00A64ED3"/>
    <w:rsid w:val="00A74A19"/>
    <w:rsid w:val="00A74F20"/>
    <w:rsid w:val="00A84D1F"/>
    <w:rsid w:val="00A937FE"/>
    <w:rsid w:val="00A94E76"/>
    <w:rsid w:val="00A954EE"/>
    <w:rsid w:val="00AB1568"/>
    <w:rsid w:val="00AB3D1E"/>
    <w:rsid w:val="00AB3EA5"/>
    <w:rsid w:val="00AB5ECE"/>
    <w:rsid w:val="00AB76E6"/>
    <w:rsid w:val="00AC35AF"/>
    <w:rsid w:val="00AC54F5"/>
    <w:rsid w:val="00AD717B"/>
    <w:rsid w:val="00AE61BE"/>
    <w:rsid w:val="00AE692D"/>
    <w:rsid w:val="00AF4222"/>
    <w:rsid w:val="00B10E41"/>
    <w:rsid w:val="00B152E2"/>
    <w:rsid w:val="00B175CB"/>
    <w:rsid w:val="00B176DB"/>
    <w:rsid w:val="00B276D9"/>
    <w:rsid w:val="00B325E9"/>
    <w:rsid w:val="00B43B30"/>
    <w:rsid w:val="00B46295"/>
    <w:rsid w:val="00B54A28"/>
    <w:rsid w:val="00B65260"/>
    <w:rsid w:val="00B65F4D"/>
    <w:rsid w:val="00BA11F2"/>
    <w:rsid w:val="00BA764E"/>
    <w:rsid w:val="00BB7CBF"/>
    <w:rsid w:val="00BD52F5"/>
    <w:rsid w:val="00BD6E7A"/>
    <w:rsid w:val="00BE40E8"/>
    <w:rsid w:val="00BE50B0"/>
    <w:rsid w:val="00BE696E"/>
    <w:rsid w:val="00BF5FAF"/>
    <w:rsid w:val="00C101D6"/>
    <w:rsid w:val="00C11A07"/>
    <w:rsid w:val="00C2247E"/>
    <w:rsid w:val="00C23783"/>
    <w:rsid w:val="00C24EE3"/>
    <w:rsid w:val="00C3144E"/>
    <w:rsid w:val="00C329C6"/>
    <w:rsid w:val="00C40912"/>
    <w:rsid w:val="00C4515F"/>
    <w:rsid w:val="00C51A24"/>
    <w:rsid w:val="00C57A3F"/>
    <w:rsid w:val="00C73A72"/>
    <w:rsid w:val="00C77A4C"/>
    <w:rsid w:val="00C77A82"/>
    <w:rsid w:val="00C840DD"/>
    <w:rsid w:val="00C844AD"/>
    <w:rsid w:val="00C844CE"/>
    <w:rsid w:val="00C87CC4"/>
    <w:rsid w:val="00C913B1"/>
    <w:rsid w:val="00C9306C"/>
    <w:rsid w:val="00C96497"/>
    <w:rsid w:val="00CB2279"/>
    <w:rsid w:val="00CB4DC7"/>
    <w:rsid w:val="00CC7D8A"/>
    <w:rsid w:val="00CD4584"/>
    <w:rsid w:val="00CD60E6"/>
    <w:rsid w:val="00CD771C"/>
    <w:rsid w:val="00CE0509"/>
    <w:rsid w:val="00CE1217"/>
    <w:rsid w:val="00CF0FB4"/>
    <w:rsid w:val="00D156DA"/>
    <w:rsid w:val="00D257C5"/>
    <w:rsid w:val="00D31D50"/>
    <w:rsid w:val="00D33A70"/>
    <w:rsid w:val="00D4163B"/>
    <w:rsid w:val="00D45482"/>
    <w:rsid w:val="00D52B67"/>
    <w:rsid w:val="00D71993"/>
    <w:rsid w:val="00D747A1"/>
    <w:rsid w:val="00D80453"/>
    <w:rsid w:val="00D85C4D"/>
    <w:rsid w:val="00DB0E84"/>
    <w:rsid w:val="00DC327D"/>
    <w:rsid w:val="00DD7E46"/>
    <w:rsid w:val="00DF29A1"/>
    <w:rsid w:val="00E03BEA"/>
    <w:rsid w:val="00E05B88"/>
    <w:rsid w:val="00E07A75"/>
    <w:rsid w:val="00E1088A"/>
    <w:rsid w:val="00E12B09"/>
    <w:rsid w:val="00E15D41"/>
    <w:rsid w:val="00E161FA"/>
    <w:rsid w:val="00E25324"/>
    <w:rsid w:val="00E3201E"/>
    <w:rsid w:val="00E379D7"/>
    <w:rsid w:val="00E65F02"/>
    <w:rsid w:val="00E72B82"/>
    <w:rsid w:val="00E90D76"/>
    <w:rsid w:val="00E975AA"/>
    <w:rsid w:val="00EA24D2"/>
    <w:rsid w:val="00EA44BF"/>
    <w:rsid w:val="00EA5921"/>
    <w:rsid w:val="00EB0BE4"/>
    <w:rsid w:val="00EC0551"/>
    <w:rsid w:val="00ED38A8"/>
    <w:rsid w:val="00ED7FB4"/>
    <w:rsid w:val="00EF157D"/>
    <w:rsid w:val="00F14377"/>
    <w:rsid w:val="00F24E96"/>
    <w:rsid w:val="00F31FC6"/>
    <w:rsid w:val="00F35117"/>
    <w:rsid w:val="00F37177"/>
    <w:rsid w:val="00F42514"/>
    <w:rsid w:val="00F47384"/>
    <w:rsid w:val="00F72192"/>
    <w:rsid w:val="00F73881"/>
    <w:rsid w:val="00F73A9E"/>
    <w:rsid w:val="00F773A6"/>
    <w:rsid w:val="00F85498"/>
    <w:rsid w:val="00F94041"/>
    <w:rsid w:val="00F9655A"/>
    <w:rsid w:val="00FB39D7"/>
    <w:rsid w:val="00FB6DE8"/>
    <w:rsid w:val="00FD0364"/>
    <w:rsid w:val="00FD1B9D"/>
    <w:rsid w:val="00FD305D"/>
    <w:rsid w:val="00FD3821"/>
    <w:rsid w:val="00FD4D9D"/>
    <w:rsid w:val="00FE1DBD"/>
    <w:rsid w:val="00FE3246"/>
    <w:rsid w:val="00FE3AF9"/>
    <w:rsid w:val="00FE5426"/>
    <w:rsid w:val="00FF03E3"/>
    <w:rsid w:val="02656639"/>
    <w:rsid w:val="127545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4"/>
    <w:unhideWhenUsed/>
    <w:uiPriority w:val="99"/>
    <w:pPr>
      <w:spacing w:after="0"/>
    </w:pPr>
    <w:rPr>
      <w:sz w:val="18"/>
      <w:szCs w:val="18"/>
    </w:rPr>
  </w:style>
  <w:style w:type="paragraph" w:styleId="3">
    <w:name w:val="footer"/>
    <w:basedOn w:val="1"/>
    <w:link w:val="12"/>
    <w:unhideWhenUsed/>
    <w:uiPriority w:val="99"/>
    <w:pPr>
      <w:tabs>
        <w:tab w:val="center" w:pos="4153"/>
        <w:tab w:val="right" w:pos="8306"/>
      </w:tabs>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nhideWhenUsed/>
    <w:uiPriority w:val="0"/>
    <w:pPr>
      <w:widowControl w:val="0"/>
      <w:jc w:val="both"/>
    </w:pPr>
    <w:rPr>
      <w:rFonts w:ascii="Times New Roman" w:hAnsi="Times New Roman" w:eastAsia="宋体"/>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修订"/>
    <w:semiHidden/>
    <w:uiPriority w:val="99"/>
    <w:rPr>
      <w:rFonts w:ascii="Tahoma" w:hAnsi="Tahoma"/>
      <w:sz w:val="22"/>
      <w:szCs w:val="22"/>
      <w:lang w:val="en-US" w:eastAsia="zh-CN" w:bidi="ar-SA"/>
    </w:rPr>
  </w:style>
  <w:style w:type="paragraph" w:customStyle="1" w:styleId="10">
    <w:name w:val="列出段落"/>
    <w:basedOn w:val="1"/>
    <w:qFormat/>
    <w:uiPriority w:val="34"/>
    <w:pPr>
      <w:widowControl w:val="0"/>
      <w:adjustRightInd/>
      <w:snapToGrid/>
      <w:spacing w:after="0"/>
      <w:ind w:firstLine="420" w:firstLineChars="200"/>
      <w:jc w:val="both"/>
    </w:pPr>
    <w:rPr>
      <w:rFonts w:ascii="Calibri" w:hAnsi="Calibri" w:eastAsia="宋体"/>
      <w:kern w:val="2"/>
      <w:sz w:val="24"/>
      <w:szCs w:val="24"/>
    </w:rPr>
  </w:style>
  <w:style w:type="paragraph" w:customStyle="1" w:styleId="11">
    <w:name w:val="List Paragraph1"/>
    <w:basedOn w:val="1"/>
    <w:uiPriority w:val="0"/>
    <w:pPr>
      <w:widowControl w:val="0"/>
      <w:adjustRightInd/>
      <w:snapToGrid/>
      <w:spacing w:after="0"/>
      <w:ind w:firstLine="420" w:firstLineChars="200"/>
      <w:jc w:val="both"/>
    </w:pPr>
    <w:rPr>
      <w:rFonts w:ascii="Calibri" w:hAnsi="Calibri" w:eastAsia="宋体"/>
      <w:kern w:val="2"/>
      <w:sz w:val="21"/>
    </w:rPr>
  </w:style>
  <w:style w:type="character" w:customStyle="1" w:styleId="12">
    <w:name w:val=" Char Char1"/>
    <w:link w:val="3"/>
    <w:semiHidden/>
    <w:uiPriority w:val="99"/>
    <w:rPr>
      <w:rFonts w:ascii="Tahoma" w:hAnsi="Tahoma"/>
      <w:sz w:val="18"/>
      <w:szCs w:val="18"/>
    </w:rPr>
  </w:style>
  <w:style w:type="character" w:customStyle="1" w:styleId="13">
    <w:name w:val=" Char Char2"/>
    <w:link w:val="4"/>
    <w:semiHidden/>
    <w:uiPriority w:val="99"/>
    <w:rPr>
      <w:rFonts w:ascii="Tahoma" w:hAnsi="Tahoma"/>
      <w:sz w:val="18"/>
      <w:szCs w:val="18"/>
    </w:rPr>
  </w:style>
  <w:style w:type="character" w:customStyle="1" w:styleId="14">
    <w:name w:val=" Char Char"/>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hmkw</Company>
  <Pages>1</Pages>
  <Words>129</Words>
  <Characters>737</Characters>
  <Lines>6</Lines>
  <Paragraphs>1</Paragraphs>
  <TotalTime>0</TotalTime>
  <ScaleCrop>false</ScaleCrop>
  <LinksUpToDate>false</LinksUpToDate>
  <CharactersWithSpaces>865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2018-07-19T07:51:00Z</dcterms:created>
  <dc:creator>Administrator</dc:creator>
  <cp:lastModifiedBy>善解人意</cp:lastModifiedBy>
  <cp:lastPrinted>2017-03-02T07:15:00Z</cp:lastPrinted>
  <dcterms:modified xsi:type="dcterms:W3CDTF">2018-08-14T07:02:14Z</dcterms:modified>
  <dc:title>今年以来工作情况及下月工作打算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