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南通回力橡胶有限公司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91320684138772062T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周洪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15851338990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资源综合利用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4.0亿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需求名称：耐酸耐碱耐高温废气处理装置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需求名称：耐酸耐碱耐高温废气处理装置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Cs w:val="21"/>
              </w:rPr>
              <w:t>传统的再生胶尾气处理，是采用活性碳技术、臭氧光解处理技术、等离子处理技术，再加上水洗喷淋，最后通过烟囱排放，这些技术在再生胶行业还不能完全满足要求。</w:t>
            </w:r>
          </w:p>
          <w:p>
            <w:pPr>
              <w:ind w:firstLine="440" w:firstLineChars="200"/>
              <w:rPr>
                <w:rFonts w:hint="eastAsia" w:ascii="仿宋" w:hAnsi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公司现在通过多年的技术改造，将废气分为有组织废气和无组织废气进行收集，目前总的收集效果还是比较明显，但在运行过程中也发现了一系列技术难题，首先，再生胶废气的最佳处理方式是高温催氧化，通过高温将废气充分分解，但高温催化以后出现了一个问题，高温催氧化以后，产生大量的高温气体，这些高温气体进入冷却塔降温洗剂后，气体和水变成了酸性，不锈钢不耐酸，造成冷却塔的损坏，由于是高温气体进入塔内，所以目前除了不锈钢，还没有</w:t>
            </w:r>
            <w:r>
              <w:rPr>
                <w:rFonts w:hint="eastAsia" w:ascii="仿宋" w:hAnsi="仿宋" w:cs="仿宋"/>
                <w:b/>
                <w:szCs w:val="21"/>
              </w:rPr>
              <w:t>耐酸耐碱耐高温的材料做成的塔体满足要求（玻璃钢耐温1</w:t>
            </w:r>
            <w:r>
              <w:rPr>
                <w:rFonts w:ascii="仿宋" w:hAnsi="仿宋" w:cs="仿宋"/>
                <w:b/>
                <w:szCs w:val="21"/>
              </w:rPr>
              <w:t>80</w:t>
            </w:r>
            <w:r>
              <w:rPr>
                <w:rFonts w:hint="eastAsia" w:ascii="仿宋" w:hAnsi="仿宋" w:cs="仿宋"/>
                <w:b/>
                <w:szCs w:val="21"/>
              </w:rPr>
              <w:t>度以下）。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第二点，目前我们有组织废气是通过真空抽提将胶料内的废气进行收集，由于在收集过程中废气中有大量的杂质，使我们现有的真空抽提装置特别容易损坏，</w:t>
            </w:r>
            <w:r>
              <w:rPr>
                <w:rFonts w:hint="eastAsia" w:ascii="仿宋" w:hAnsi="仿宋" w:cs="仿宋"/>
                <w:b/>
                <w:kern w:val="0"/>
                <w:szCs w:val="21"/>
              </w:rPr>
              <w:t>是否有新的抽提装置替代我们现有的抽提装置。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cs="仿宋"/>
                <w:szCs w:val="21"/>
              </w:rPr>
              <w:t>希望有技术能力强的环保企业合作。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13591E71"/>
    <w:rsid w:val="1A46349A"/>
    <w:rsid w:val="1CBD4558"/>
    <w:rsid w:val="1CEF05EB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24D1AF8"/>
    <w:rsid w:val="45684002"/>
    <w:rsid w:val="469C5382"/>
    <w:rsid w:val="52C8118E"/>
    <w:rsid w:val="535278BC"/>
    <w:rsid w:val="5B621F11"/>
    <w:rsid w:val="5FE144C9"/>
    <w:rsid w:val="6C0B1033"/>
    <w:rsid w:val="6DFF0DFF"/>
    <w:rsid w:val="6E6A7BB0"/>
    <w:rsid w:val="71FC42D3"/>
    <w:rsid w:val="74F44965"/>
    <w:rsid w:val="7CD411E9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1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2"/>
    <w:link w:val="5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2018-08-14T06:51:27Z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