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78"/>
        <w:gridCol w:w="437"/>
        <w:gridCol w:w="1738"/>
        <w:gridCol w:w="1158"/>
        <w:gridCol w:w="372"/>
        <w:gridCol w:w="915"/>
        <w:gridCol w:w="300"/>
        <w:gridCol w:w="49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尚鼎环境科技(江苏)有限公司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91321000562922664P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魏孝明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0514-89885901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175万美元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电子废介物的高温焚烧处理及资源收一体化工艺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电子废介物的高温焚烧处理及资源收一体化工艺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工艺需要将贵重金属在高温下回收利用；需要将焚烧过程中产生的气相物防污治理后达标排放，气体排放能符合</w:t>
            </w:r>
            <w:r>
              <w:rPr>
                <w:rFonts w:hint="default"/>
                <w:kern w:val="0"/>
                <w:sz w:val="24"/>
              </w:rPr>
              <w:t>GB 18484-2001《危险废物焚烧污染控制标准》</w:t>
            </w:r>
          </w:p>
          <w:p>
            <w:pPr>
              <w:ind w:firstLine="0" w:firstLineChars="0"/>
              <w:jc w:val="both"/>
              <w:rPr>
                <w:rFonts w:hint="default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default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需要电子废弃物高温焚烧处理设备开发，及相应的工艺处理、尾气处理和资源回收工艺及设备，温度需要达到1300℃-1500℃;工艺设计需符合节能减排、资源回收利用的目的，有效回收焚烧过程中的热源。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有技术能力的高校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"https://www.qichacha.com/pl_paafbe83f1badfa13bdc25ea4bf348ab.html" \o "康德朗"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康德朗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  2018 年  8月1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829C8"/>
    <w:rsid w:val="3F5127F1"/>
    <w:rsid w:val="4B6829C8"/>
    <w:rsid w:val="6D535020"/>
    <w:rsid w:val="785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8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2018-08-10T01:04:00Z</dcterms:created>
  <dc:creator>G x，</dc:creator>
  <cp:lastModifiedBy>张明星</cp:lastModifiedBy>
  <dcterms:modified xsi:type="dcterms:W3CDTF">2018-08-14T03:25:24Z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