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bookmarkStart w:id="0" w:name="_Hlk521435686"/>
            <w:bookmarkStart w:id="1" w:name="_Hlk521430737"/>
            <w:r>
              <w:rPr>
                <w:rFonts w:hint="eastAsia" w:ascii="仿宋_GB2312" w:hAnsi="宋体" w:eastAsia="仿宋_GB2312" w:cs="宋体"/>
                <w:b/>
                <w:bCs/>
                <w:sz w:val="24"/>
              </w:rPr>
              <w:t>需求编号：25</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 循环流化床锅炉中心筒防变形、掉落改型技术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行业领域：高端装备制造</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循环流化床锅炉中心筒防变形、掉落改型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jc w:val="left"/>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ind w:firstLine="480" w:firstLineChars="200"/>
              <w:jc w:val="left"/>
              <w:rPr>
                <w:rFonts w:hint="eastAsia" w:ascii="仿宋_GB2312" w:hAnsi="宋体" w:eastAsia="仿宋_GB2312" w:cs="宋体"/>
                <w:sz w:val="24"/>
              </w:rPr>
            </w:pPr>
          </w:p>
          <w:p>
            <w:pPr>
              <w:ind w:firstLine="480" w:firstLineChars="200"/>
              <w:jc w:val="left"/>
              <w:rPr>
                <w:rFonts w:hint="eastAsia" w:ascii="仿宋_GB2312" w:hAnsi="宋体" w:eastAsia="仿宋_GB2312" w:cs="宋体"/>
                <w:sz w:val="24"/>
              </w:rPr>
            </w:pPr>
          </w:p>
          <w:p>
            <w:pPr>
              <w:numPr>
                <w:ilvl w:val="0"/>
                <w:numId w:val="1"/>
              </w:numPr>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锅炉旋风分离器中心筒原设计耐热钢板卷制而成：规格为Φ4149×12mm，筒体高度为6343mm，材质为RA253MA。固定方式为接口连接方式，筒体内部采用支撑桁架支撑。运行期间出现</w:t>
            </w:r>
            <w:r>
              <w:rPr>
                <w:rFonts w:ascii="仿宋_GB2312" w:hAnsi="宋体" w:eastAsia="仿宋_GB2312" w:cs="宋体"/>
                <w:sz w:val="24"/>
              </w:rPr>
              <w:t>筒体</w:t>
            </w:r>
            <w:r>
              <w:rPr>
                <w:rFonts w:hint="eastAsia" w:ascii="仿宋_GB2312" w:hAnsi="宋体" w:eastAsia="仿宋_GB2312" w:cs="宋体"/>
                <w:sz w:val="24"/>
              </w:rPr>
              <w:t>膨胀缝变形严重并浇注料脱落，内部支撑桁架变形下坠、入口变形严重，严重影响分离器分离效率。</w:t>
            </w:r>
          </w:p>
          <w:p>
            <w:pPr>
              <w:numPr>
                <w:ilvl w:val="0"/>
                <w:numId w:val="1"/>
              </w:numPr>
              <w:ind w:firstLine="480" w:firstLineChars="200"/>
              <w:jc w:val="left"/>
              <w:rPr>
                <w:rFonts w:hint="eastAsia" w:ascii="仿宋_GB2312" w:hAnsi="宋体" w:eastAsia="仿宋_GB2312" w:cs="宋体"/>
                <w:sz w:val="24"/>
              </w:rPr>
            </w:pPr>
          </w:p>
          <w:p>
            <w:pPr>
              <w:numPr>
                <w:ilvl w:val="0"/>
                <w:numId w:val="1"/>
              </w:numPr>
              <w:ind w:left="0" w:leftChars="0" w:firstLine="480" w:firstLineChars="200"/>
              <w:jc w:val="left"/>
              <w:rPr>
                <w:rFonts w:hint="eastAsia" w:ascii="仿宋_GB2312" w:hAnsi="宋体" w:eastAsia="仿宋_GB2312" w:cs="宋体"/>
                <w:sz w:val="24"/>
              </w:rPr>
            </w:pPr>
            <w:r>
              <w:rPr>
                <w:rFonts w:hint="eastAsia" w:ascii="仿宋_GB2312" w:hAnsi="宋体" w:eastAsia="仿宋_GB2312" w:cs="宋体"/>
                <w:sz w:val="24"/>
              </w:rPr>
              <w:t>改造的铸造加厚中心筒直径φ4000mm, 高6320mm，壁厚δ=16mm，材质为ZGCr25Ni20MoMnSiNRe。固定方式为自由吊挂方式。经过改造后有效解决了中心筒筒体变形问题，但运行三年后出现筒体焊缝开裂、母材出现细小裂纹，筒体吊挂支撑支架出现开焊脱落，导致中心筒倾斜，严重时出现中心筒掉落。</w:t>
            </w:r>
          </w:p>
          <w:p>
            <w:pPr>
              <w:numPr>
                <w:ilvl w:val="0"/>
                <w:numId w:val="1"/>
              </w:numPr>
              <w:ind w:left="0" w:leftChars="0" w:firstLine="480" w:firstLineChars="200"/>
              <w:jc w:val="left"/>
              <w:rPr>
                <w:rFonts w:hint="eastAsia" w:ascii="仿宋_GB2312" w:hAnsi="宋体" w:eastAsia="仿宋_GB2312" w:cs="宋体"/>
                <w:sz w:val="24"/>
              </w:rPr>
            </w:pPr>
          </w:p>
          <w:p>
            <w:pPr>
              <w:ind w:firstLine="480"/>
              <w:jc w:val="left"/>
              <w:rPr>
                <w:rFonts w:hint="eastAsia" w:ascii="仿宋_GB2312" w:hAnsi="宋体" w:eastAsia="仿宋_GB2312" w:cs="宋体"/>
                <w:sz w:val="24"/>
              </w:rPr>
            </w:pPr>
            <w:r>
              <w:rPr>
                <w:rFonts w:hint="eastAsia" w:ascii="仿宋_GB2312" w:hAnsi="宋体" w:eastAsia="仿宋_GB2312" w:cs="宋体"/>
                <w:sz w:val="24"/>
              </w:rPr>
              <w:t>综述使用结论：耐热钢板卷制中心筒筒体焊接性能较好，但强度不高，易出现变形。铸造的中心筒长时间高温运行，铬、镍合金表面析碳，致使焊口与母材熔合区出现裂纹，降低吊挂件强度，存在中心筒在运行中掉落的隐患。</w:t>
            </w:r>
          </w:p>
          <w:p>
            <w:pPr>
              <w:ind w:firstLine="480"/>
              <w:jc w:val="left"/>
              <w:rPr>
                <w:rFonts w:hint="eastAsia" w:ascii="仿宋_GB2312" w:hAnsi="宋体" w:eastAsia="仿宋_GB2312" w:cs="宋体"/>
                <w:sz w:val="24"/>
              </w:rPr>
            </w:pPr>
          </w:p>
          <w:p>
            <w:pPr>
              <w:ind w:firstLine="480"/>
              <w:jc w:val="left"/>
              <w:rPr>
                <w:rFonts w:hint="eastAsia" w:ascii="仿宋_GB2312" w:hAnsi="宋体" w:eastAsia="仿宋_GB2312" w:cs="宋体"/>
                <w:sz w:val="24"/>
              </w:rPr>
            </w:pPr>
            <w:r>
              <w:rPr>
                <w:rFonts w:hint="eastAsia" w:ascii="仿宋_GB2312" w:hAnsi="宋体" w:eastAsia="仿宋_GB2312" w:cs="宋体"/>
                <w:sz w:val="24"/>
              </w:rPr>
              <w:t>鉴于此，需要对中心筒变形原因进行分析，从降低中心筒运行环境温度、结构选型和材质选取方面提供技术支持。</w:t>
            </w:r>
          </w:p>
          <w:p>
            <w:pPr>
              <w:ind w:firstLine="480"/>
              <w:jc w:val="left"/>
              <w:rPr>
                <w:rFonts w:hint="eastAsia" w:ascii="仿宋_GB2312" w:hAnsi="宋体" w:eastAsia="仿宋_GB2312" w:cs="宋体"/>
                <w:sz w:val="24"/>
              </w:rPr>
            </w:pPr>
          </w:p>
          <w:p>
            <w:pPr>
              <w:ind w:firstLine="480"/>
              <w:jc w:val="left"/>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p>
          <w:p>
            <w:pPr>
              <w:ind w:firstLine="480" w:firstLineChars="200"/>
              <w:rPr>
                <w:rFonts w:hint="eastAsia" w:ascii="仿宋_GB2312" w:hAnsi="宋体" w:eastAsia="仿宋_GB2312" w:cs="宋体"/>
                <w:sz w:val="24"/>
              </w:rPr>
            </w:pPr>
            <w:r>
              <w:rPr>
                <w:rFonts w:hint="eastAsia" w:ascii="仿宋_GB2312" w:hAnsi="宋体" w:eastAsia="仿宋_GB2312" w:cs="宋体"/>
                <w:sz w:val="24"/>
              </w:rPr>
              <w:t>京泰发电公司锅炉型号为DG1089/17.4-Ⅱ1，制造厂为东方锅炉（集团）股份有限公司。型式为亚临界自然循环、循环流化燃烧、一次中间再热、汽冷式旋风分离器、单炉膛、平衡通风、全钢架悬吊结构、固态排渣的循环流化床汽包锅炉。</w:t>
            </w:r>
          </w:p>
          <w:p>
            <w:pPr>
              <w:ind w:firstLine="480" w:firstLineChars="200"/>
              <w:rPr>
                <w:rFonts w:hint="eastAsia" w:ascii="仿宋_GB2312" w:hAnsi="宋体" w:eastAsia="仿宋_GB2312" w:cs="宋体"/>
                <w:sz w:val="24"/>
              </w:rPr>
            </w:pPr>
            <w:bookmarkStart w:id="2" w:name="_GoBack"/>
            <w:bookmarkEnd w:id="2"/>
          </w:p>
          <w:p>
            <w:pPr>
              <w:ind w:firstLine="480" w:firstLineChars="200"/>
              <w:rPr>
                <w:rFonts w:hint="eastAsia" w:ascii="仿宋_GB2312" w:hAnsi="宋体" w:eastAsia="仿宋_GB2312" w:cs="宋体"/>
                <w:sz w:val="24"/>
              </w:rPr>
            </w:pPr>
            <w:r>
              <w:rPr>
                <w:rFonts w:hint="eastAsia" w:ascii="仿宋_GB2312" w:hAnsi="宋体" w:eastAsia="仿宋_GB2312" w:cs="宋体"/>
                <w:sz w:val="24"/>
              </w:rPr>
              <w:t>1号机</w:t>
            </w:r>
            <w:r>
              <w:rPr>
                <w:rFonts w:ascii="仿宋_GB2312" w:hAnsi="宋体" w:eastAsia="仿宋_GB2312" w:cs="宋体"/>
                <w:sz w:val="24"/>
              </w:rPr>
              <w:t xml:space="preserve">组于 </w:t>
            </w:r>
            <w:r>
              <w:rPr>
                <w:rFonts w:hint="eastAsia" w:ascii="仿宋_GB2312" w:hAnsi="宋体" w:eastAsia="仿宋_GB2312" w:cs="宋体"/>
                <w:sz w:val="24"/>
              </w:rPr>
              <w:t>2010</w:t>
            </w:r>
            <w:r>
              <w:rPr>
                <w:rFonts w:ascii="仿宋_GB2312" w:hAnsi="宋体" w:eastAsia="仿宋_GB2312" w:cs="宋体"/>
                <w:sz w:val="24"/>
              </w:rPr>
              <w:t xml:space="preserve">年 </w:t>
            </w:r>
            <w:r>
              <w:rPr>
                <w:rFonts w:hint="eastAsia" w:ascii="仿宋_GB2312" w:hAnsi="宋体" w:eastAsia="仿宋_GB2312" w:cs="宋体"/>
                <w:sz w:val="24"/>
              </w:rPr>
              <w:t>02</w:t>
            </w:r>
            <w:r>
              <w:rPr>
                <w:rFonts w:ascii="仿宋_GB2312" w:hAnsi="宋体" w:eastAsia="仿宋_GB2312" w:cs="宋体"/>
                <w:sz w:val="24"/>
              </w:rPr>
              <w:t>月</w:t>
            </w:r>
            <w:r>
              <w:rPr>
                <w:rFonts w:hint="eastAsia" w:ascii="仿宋_GB2312" w:hAnsi="宋体" w:eastAsia="仿宋_GB2312" w:cs="宋体"/>
                <w:sz w:val="24"/>
              </w:rPr>
              <w:t xml:space="preserve"> 08</w:t>
            </w:r>
            <w:r>
              <w:rPr>
                <w:rFonts w:ascii="仿宋_GB2312" w:hAnsi="宋体" w:eastAsia="仿宋_GB2312" w:cs="宋体"/>
                <w:sz w:val="24"/>
              </w:rPr>
              <w:t xml:space="preserve"> 日投产，</w:t>
            </w:r>
            <w:r>
              <w:rPr>
                <w:rFonts w:hint="eastAsia" w:ascii="仿宋_GB2312" w:hAnsi="宋体" w:eastAsia="仿宋_GB2312" w:cs="宋体"/>
                <w:sz w:val="24"/>
              </w:rPr>
              <w:t>2号机</w:t>
            </w:r>
            <w:r>
              <w:rPr>
                <w:rFonts w:ascii="仿宋_GB2312" w:hAnsi="宋体" w:eastAsia="仿宋_GB2312" w:cs="宋体"/>
                <w:sz w:val="24"/>
              </w:rPr>
              <w:t xml:space="preserve">组于 </w:t>
            </w:r>
            <w:r>
              <w:rPr>
                <w:rFonts w:hint="eastAsia" w:ascii="仿宋_GB2312" w:hAnsi="宋体" w:eastAsia="仿宋_GB2312" w:cs="宋体"/>
                <w:sz w:val="24"/>
              </w:rPr>
              <w:t>2010</w:t>
            </w:r>
            <w:r>
              <w:rPr>
                <w:rFonts w:ascii="仿宋_GB2312" w:hAnsi="宋体" w:eastAsia="仿宋_GB2312" w:cs="宋体"/>
                <w:sz w:val="24"/>
              </w:rPr>
              <w:t xml:space="preserve">年 </w:t>
            </w:r>
            <w:r>
              <w:rPr>
                <w:rFonts w:hint="eastAsia" w:ascii="仿宋_GB2312" w:hAnsi="宋体" w:eastAsia="仿宋_GB2312" w:cs="宋体"/>
                <w:sz w:val="24"/>
              </w:rPr>
              <w:t>03</w:t>
            </w:r>
            <w:r>
              <w:rPr>
                <w:rFonts w:ascii="仿宋_GB2312" w:hAnsi="宋体" w:eastAsia="仿宋_GB2312" w:cs="宋体"/>
                <w:sz w:val="24"/>
              </w:rPr>
              <w:t>月</w:t>
            </w:r>
            <w:r>
              <w:rPr>
                <w:rFonts w:hint="eastAsia" w:ascii="仿宋_GB2312" w:hAnsi="宋体" w:eastAsia="仿宋_GB2312" w:cs="宋体"/>
                <w:sz w:val="24"/>
              </w:rPr>
              <w:t>09</w:t>
            </w:r>
            <w:r>
              <w:rPr>
                <w:rFonts w:ascii="仿宋_GB2312" w:hAnsi="宋体" w:eastAsia="仿宋_GB2312" w:cs="宋体"/>
                <w:sz w:val="24"/>
              </w:rPr>
              <w:t>日投产，</w:t>
            </w:r>
            <w:r>
              <w:rPr>
                <w:rFonts w:hint="eastAsia" w:ascii="仿宋_GB2312" w:hAnsi="宋体" w:eastAsia="仿宋_GB2312" w:cs="宋体"/>
                <w:sz w:val="24"/>
              </w:rPr>
              <w:t>锅炉旋风分离器中心筒原设计耐热钢板卷制而成：规格为Φ4149×12mm，筒体高度为6343mm，材质为RA253MA。固定方式为接口连接方式，筒体内部采用支撑桁架支撑。运行期间出现</w:t>
            </w:r>
            <w:r>
              <w:rPr>
                <w:rFonts w:ascii="仿宋_GB2312" w:hAnsi="宋体" w:eastAsia="仿宋_GB2312" w:cs="宋体"/>
                <w:sz w:val="24"/>
              </w:rPr>
              <w:t>筒体</w:t>
            </w:r>
            <w:r>
              <w:rPr>
                <w:rFonts w:hint="eastAsia" w:ascii="仿宋_GB2312" w:hAnsi="宋体" w:eastAsia="仿宋_GB2312" w:cs="宋体"/>
                <w:sz w:val="24"/>
              </w:rPr>
              <w:t>膨胀缝变形严重并浇注料脱落，内部支撑桁架变形下坠、入口变形严重，严重影响分离器分离效率。</w:t>
            </w:r>
          </w:p>
          <w:p>
            <w:pPr>
              <w:ind w:firstLine="480" w:firstLineChars="200"/>
              <w:rPr>
                <w:rFonts w:hint="eastAsia" w:ascii="仿宋_GB2312" w:hAnsi="宋体" w:eastAsia="仿宋_GB2312" w:cs="宋体"/>
                <w:sz w:val="24"/>
              </w:rPr>
            </w:pPr>
          </w:p>
          <w:p>
            <w:pPr>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2012年10月至2013年3月，为解决中心筒变形严重问题，对分离器中心筒进行了第一次改造。更换中心筒高6320mm，直径φ4000mm,壁厚δ=16mm，材质为ZGCr25Ni20MoMnSiNRe。固定方式为自由吊挂方式。经过改造后有效解决了中心筒筒体变形问题，但运行三年后，筒体又出现了焊缝开裂、母材产生细小裂纹等缺陷，发生筒体吊挂支撑支架开焊脱落现象，导致中心筒倾斜，严重时发生中心筒掉落事件。</w:t>
            </w:r>
          </w:p>
          <w:p>
            <w:pPr>
              <w:ind w:firstLine="480" w:firstLineChars="200"/>
              <w:jc w:val="left"/>
              <w:rPr>
                <w:rFonts w:hint="eastAsia" w:ascii="仿宋_GB2312" w:hAnsi="宋体" w:eastAsia="仿宋_GB2312" w:cs="宋体"/>
                <w:sz w:val="24"/>
              </w:rPr>
            </w:pPr>
          </w:p>
          <w:p>
            <w:pPr>
              <w:ind w:firstLine="480" w:firstLineChars="200"/>
              <w:jc w:val="left"/>
              <w:rPr>
                <w:rFonts w:hint="eastAsia" w:ascii="仿宋_GB2312" w:hAnsi="宋体" w:eastAsia="仿宋_GB2312" w:cs="宋体"/>
                <w:sz w:val="24"/>
              </w:rPr>
            </w:pPr>
            <w:r>
              <w:rPr>
                <w:rFonts w:hint="eastAsia" w:ascii="仿宋_GB2312" w:hAnsi="宋体" w:eastAsia="仿宋_GB2312" w:cs="宋体"/>
                <w:sz w:val="24"/>
              </w:rPr>
              <w:t>2016年9月，在中心筒第一次改造的基础上进行了如下优化改进：1、中心筒间隙密封改为双层密封。2、中心筒支撑支架固定方式改为穿孔双面焊接固定。3、中心筒上口变形采取了加厚铸造措施（中心筒筒体上口往下350mm处壁厚加厚至40mm。）4、筒体下口外圈加槽钢式加强筋，与筒体为一体式铸造方式。5、筒体环焊缝处加设加强筋板。</w:t>
            </w:r>
          </w:p>
          <w:p>
            <w:pPr>
              <w:ind w:firstLine="480" w:firstLineChars="200"/>
              <w:jc w:val="left"/>
              <w:rPr>
                <w:rFonts w:hint="eastAsia" w:ascii="仿宋_GB2312" w:hAnsi="宋体" w:eastAsia="仿宋_GB2312" w:cs="宋体"/>
                <w:sz w:val="24"/>
              </w:rPr>
            </w:pPr>
          </w:p>
          <w:p>
            <w:pPr>
              <w:ind w:firstLine="480"/>
              <w:rPr>
                <w:rFonts w:hint="eastAsia" w:ascii="仿宋_GB2312" w:hAnsi="宋体" w:eastAsia="仿宋_GB2312" w:cs="宋体"/>
                <w:kern w:val="0"/>
                <w:sz w:val="24"/>
              </w:rPr>
            </w:pPr>
            <w:r>
              <w:rPr>
                <w:rFonts w:hint="eastAsia" w:ascii="仿宋_GB2312" w:hAnsi="宋体" w:eastAsia="仿宋_GB2312" w:cs="宋体"/>
                <w:kern w:val="0"/>
                <w:sz w:val="24"/>
              </w:rPr>
              <w:t>目前从中心筒更换改造优化效果来看，任不容乐观，基本维持3到5年的使用周期，达不到预期的使用效果。</w:t>
            </w:r>
          </w:p>
          <w:p>
            <w:pPr>
              <w:ind w:firstLine="480"/>
              <w:rPr>
                <w:rFonts w:hint="eastAsia" w:ascii="仿宋_GB2312" w:hAnsi="宋体" w:eastAsia="仿宋_GB2312" w:cs="宋体"/>
                <w:kern w:val="0"/>
                <w:sz w:val="24"/>
              </w:rPr>
            </w:pPr>
          </w:p>
          <w:p>
            <w:pPr>
              <w:ind w:firstLine="480"/>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hint="eastAsia" w:ascii="仿宋_GB2312" w:hAnsi="宋体" w:eastAsia="仿宋_GB2312" w:cs="宋体"/>
                <w:sz w:val="24"/>
              </w:rPr>
            </w:pPr>
            <w:r>
              <w:rPr>
                <w:rFonts w:hint="eastAsia" w:ascii="仿宋_GB2312" w:hAnsi="宋体" w:eastAsia="仿宋_GB2312" w:cs="宋体"/>
                <w:sz w:val="24"/>
              </w:rPr>
              <w:t xml:space="preserve">   </w:t>
            </w:r>
          </w:p>
          <w:p>
            <w:pPr>
              <w:rPr>
                <w:rFonts w:hint="eastAsia" w:ascii="仿宋_GB2312" w:hAnsi="宋体" w:eastAsia="仿宋_GB2312" w:cs="宋体"/>
                <w:sz w:val="24"/>
              </w:rPr>
            </w:pPr>
          </w:p>
          <w:p>
            <w:pPr>
              <w:rPr>
                <w:rFonts w:hint="eastAsia" w:ascii="仿宋_GB2312" w:hAnsi="宋体" w:eastAsia="仿宋_GB2312" w:cs="宋体"/>
                <w:sz w:val="24"/>
              </w:rPr>
            </w:pPr>
            <w:r>
              <w:rPr>
                <w:rFonts w:hint="eastAsia" w:ascii="仿宋_GB2312" w:hAnsi="宋体" w:eastAsia="仿宋_GB2312" w:cs="宋体"/>
                <w:sz w:val="24"/>
              </w:rPr>
              <w:t xml:space="preserve"> 希望对循环流化床锅炉理论知识有比较深入研究的高校、科研院所或实践经验比较丰富的专家及团队参与我们现场设备存在问题原因的分析及其改造治理工作，提供理论依据和技术支持，制定出切合实际的彻底解决方案。</w:t>
            </w: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t xml:space="preserve"> □</w:t>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headerReference r:id="rId3" w:type="default"/>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3D497"/>
    <w:multiLevelType w:val="singleLevel"/>
    <w:tmpl w:val="5413D49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07D5A"/>
    <w:rsid w:val="000118F3"/>
    <w:rsid w:val="000304C2"/>
    <w:rsid w:val="00054794"/>
    <w:rsid w:val="00075F1D"/>
    <w:rsid w:val="00082B88"/>
    <w:rsid w:val="000B0162"/>
    <w:rsid w:val="000B14FD"/>
    <w:rsid w:val="000B19D0"/>
    <w:rsid w:val="000B3EA2"/>
    <w:rsid w:val="000C649C"/>
    <w:rsid w:val="000D31EF"/>
    <w:rsid w:val="00101108"/>
    <w:rsid w:val="0010501B"/>
    <w:rsid w:val="00107A35"/>
    <w:rsid w:val="00107A4C"/>
    <w:rsid w:val="001146F4"/>
    <w:rsid w:val="001257A6"/>
    <w:rsid w:val="0012712C"/>
    <w:rsid w:val="00152489"/>
    <w:rsid w:val="00172174"/>
    <w:rsid w:val="001755FF"/>
    <w:rsid w:val="00176715"/>
    <w:rsid w:val="00185AD8"/>
    <w:rsid w:val="001A6BDB"/>
    <w:rsid w:val="001C4D71"/>
    <w:rsid w:val="001D2F2B"/>
    <w:rsid w:val="001D36D9"/>
    <w:rsid w:val="001E3F72"/>
    <w:rsid w:val="001F0DAF"/>
    <w:rsid w:val="001F41E1"/>
    <w:rsid w:val="00212BA9"/>
    <w:rsid w:val="00226CB4"/>
    <w:rsid w:val="00254D0F"/>
    <w:rsid w:val="002618B6"/>
    <w:rsid w:val="00281803"/>
    <w:rsid w:val="00286FFA"/>
    <w:rsid w:val="002A4DFC"/>
    <w:rsid w:val="002A5968"/>
    <w:rsid w:val="002B6A6A"/>
    <w:rsid w:val="002C124C"/>
    <w:rsid w:val="002C2586"/>
    <w:rsid w:val="002E60DF"/>
    <w:rsid w:val="002F4385"/>
    <w:rsid w:val="00304C0F"/>
    <w:rsid w:val="0031027C"/>
    <w:rsid w:val="003125F0"/>
    <w:rsid w:val="003209CE"/>
    <w:rsid w:val="0032266A"/>
    <w:rsid w:val="00333974"/>
    <w:rsid w:val="00342AB8"/>
    <w:rsid w:val="003478CB"/>
    <w:rsid w:val="00347AD6"/>
    <w:rsid w:val="0035339A"/>
    <w:rsid w:val="00372340"/>
    <w:rsid w:val="003D3E2D"/>
    <w:rsid w:val="003E20D4"/>
    <w:rsid w:val="003F0571"/>
    <w:rsid w:val="003F1706"/>
    <w:rsid w:val="003F3E56"/>
    <w:rsid w:val="004168B6"/>
    <w:rsid w:val="00443AF2"/>
    <w:rsid w:val="0045067E"/>
    <w:rsid w:val="0047100D"/>
    <w:rsid w:val="00475D2F"/>
    <w:rsid w:val="00476C92"/>
    <w:rsid w:val="00485958"/>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A1DD2"/>
    <w:rsid w:val="005B074F"/>
    <w:rsid w:val="005C5C93"/>
    <w:rsid w:val="005F0E28"/>
    <w:rsid w:val="005F3A21"/>
    <w:rsid w:val="005F40BF"/>
    <w:rsid w:val="005F429C"/>
    <w:rsid w:val="00600BD1"/>
    <w:rsid w:val="006218F4"/>
    <w:rsid w:val="00621E42"/>
    <w:rsid w:val="00627574"/>
    <w:rsid w:val="00635119"/>
    <w:rsid w:val="00641286"/>
    <w:rsid w:val="006425F8"/>
    <w:rsid w:val="0069301E"/>
    <w:rsid w:val="00697416"/>
    <w:rsid w:val="006A4518"/>
    <w:rsid w:val="006A5ADE"/>
    <w:rsid w:val="006A5C9C"/>
    <w:rsid w:val="006D4F27"/>
    <w:rsid w:val="006E3A77"/>
    <w:rsid w:val="00701C78"/>
    <w:rsid w:val="00737E60"/>
    <w:rsid w:val="00740A21"/>
    <w:rsid w:val="007742A3"/>
    <w:rsid w:val="00777177"/>
    <w:rsid w:val="00780F6D"/>
    <w:rsid w:val="0078363D"/>
    <w:rsid w:val="007921CC"/>
    <w:rsid w:val="007A034D"/>
    <w:rsid w:val="007A27FA"/>
    <w:rsid w:val="007A3629"/>
    <w:rsid w:val="007A4F33"/>
    <w:rsid w:val="007C2845"/>
    <w:rsid w:val="007C2EFE"/>
    <w:rsid w:val="007C7EA3"/>
    <w:rsid w:val="007D1CDC"/>
    <w:rsid w:val="007D6B64"/>
    <w:rsid w:val="007F0A41"/>
    <w:rsid w:val="008050AF"/>
    <w:rsid w:val="00841738"/>
    <w:rsid w:val="0085165A"/>
    <w:rsid w:val="00852D22"/>
    <w:rsid w:val="008561A2"/>
    <w:rsid w:val="00871BC2"/>
    <w:rsid w:val="00896A3A"/>
    <w:rsid w:val="008A1702"/>
    <w:rsid w:val="008A39BF"/>
    <w:rsid w:val="008B790E"/>
    <w:rsid w:val="008F2B88"/>
    <w:rsid w:val="00913187"/>
    <w:rsid w:val="00922B1E"/>
    <w:rsid w:val="009307F2"/>
    <w:rsid w:val="00953B71"/>
    <w:rsid w:val="0096107C"/>
    <w:rsid w:val="00970780"/>
    <w:rsid w:val="009741CC"/>
    <w:rsid w:val="00975A1F"/>
    <w:rsid w:val="009A2ACC"/>
    <w:rsid w:val="009C022C"/>
    <w:rsid w:val="00A06118"/>
    <w:rsid w:val="00A104C6"/>
    <w:rsid w:val="00A17EB9"/>
    <w:rsid w:val="00A2022C"/>
    <w:rsid w:val="00A20C56"/>
    <w:rsid w:val="00A4364A"/>
    <w:rsid w:val="00AB072E"/>
    <w:rsid w:val="00B53B6C"/>
    <w:rsid w:val="00B55132"/>
    <w:rsid w:val="00B57CFD"/>
    <w:rsid w:val="00B95D29"/>
    <w:rsid w:val="00BB3CD8"/>
    <w:rsid w:val="00BC6700"/>
    <w:rsid w:val="00BD59A5"/>
    <w:rsid w:val="00BE4511"/>
    <w:rsid w:val="00BF32E5"/>
    <w:rsid w:val="00C001CA"/>
    <w:rsid w:val="00C228BC"/>
    <w:rsid w:val="00C3220F"/>
    <w:rsid w:val="00C3498A"/>
    <w:rsid w:val="00C36864"/>
    <w:rsid w:val="00C41ED8"/>
    <w:rsid w:val="00C621F6"/>
    <w:rsid w:val="00C71FA4"/>
    <w:rsid w:val="00C82928"/>
    <w:rsid w:val="00C83D08"/>
    <w:rsid w:val="00C95C6C"/>
    <w:rsid w:val="00CC08E8"/>
    <w:rsid w:val="00CC7C02"/>
    <w:rsid w:val="00CD1FA9"/>
    <w:rsid w:val="00CD2BDF"/>
    <w:rsid w:val="00CF0E9A"/>
    <w:rsid w:val="00D04615"/>
    <w:rsid w:val="00D37771"/>
    <w:rsid w:val="00D47352"/>
    <w:rsid w:val="00D75331"/>
    <w:rsid w:val="00DB4E1A"/>
    <w:rsid w:val="00DB5988"/>
    <w:rsid w:val="00DD3CC2"/>
    <w:rsid w:val="00DD593D"/>
    <w:rsid w:val="00DE48C2"/>
    <w:rsid w:val="00E01813"/>
    <w:rsid w:val="00E03D95"/>
    <w:rsid w:val="00E16458"/>
    <w:rsid w:val="00E54662"/>
    <w:rsid w:val="00E6193C"/>
    <w:rsid w:val="00E62079"/>
    <w:rsid w:val="00E63F04"/>
    <w:rsid w:val="00E66467"/>
    <w:rsid w:val="00E77464"/>
    <w:rsid w:val="00E80559"/>
    <w:rsid w:val="00E91456"/>
    <w:rsid w:val="00E95A1D"/>
    <w:rsid w:val="00EA4CD4"/>
    <w:rsid w:val="00EB287E"/>
    <w:rsid w:val="00ED0461"/>
    <w:rsid w:val="00ED72A4"/>
    <w:rsid w:val="00EF35DC"/>
    <w:rsid w:val="00EF5D82"/>
    <w:rsid w:val="00F10694"/>
    <w:rsid w:val="00F4157A"/>
    <w:rsid w:val="00F5304C"/>
    <w:rsid w:val="00F80007"/>
    <w:rsid w:val="00F80644"/>
    <w:rsid w:val="00F808A7"/>
    <w:rsid w:val="00FA2736"/>
    <w:rsid w:val="00FB3806"/>
    <w:rsid w:val="00FC206C"/>
    <w:rsid w:val="00FF6621"/>
    <w:rsid w:val="2BCE59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qFormat/>
    <w:uiPriority w:val="0"/>
    <w:pPr>
      <w:spacing w:after="120"/>
    </w:pPr>
    <w:rPr>
      <w:rFonts w:ascii="Calibri" w:hAnsi="Calibri" w:eastAsia="宋体" w:cs="Times New Roman"/>
      <w:sz w:val="24"/>
      <w:szCs w:val="24"/>
    </w:rPr>
  </w:style>
  <w:style w:type="paragraph" w:styleId="5">
    <w:name w:val="Date"/>
    <w:basedOn w:val="1"/>
    <w:next w:val="1"/>
    <w:link w:val="23"/>
    <w:qFormat/>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qFormat/>
    <w:uiPriority w:val="0"/>
    <w:rPr>
      <w:sz w:val="18"/>
      <w:szCs w:val="18"/>
    </w:rPr>
  </w:style>
  <w:style w:type="character" w:customStyle="1" w:styleId="15">
    <w:name w:val="页脚 Char"/>
    <w:basedOn w:val="10"/>
    <w:link w:val="7"/>
    <w:qFormat/>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uiPriority w:val="0"/>
    <w:pPr>
      <w:ind w:firstLine="420" w:firstLineChars="200"/>
    </w:pPr>
    <w:rPr>
      <w:rFonts w:ascii="Calibri" w:hAnsi="Calibri" w:eastAsia="宋体" w:cs="黑体"/>
    </w:rPr>
  </w:style>
  <w:style w:type="paragraph" w:customStyle="1" w:styleId="18">
    <w:name w:val="List Paragraph1"/>
    <w:basedOn w:val="1"/>
    <w:qFormat/>
    <w:uiPriority w:val="0"/>
    <w:pPr>
      <w:ind w:firstLine="420" w:firstLineChars="200"/>
    </w:pPr>
    <w:rPr>
      <w:rFonts w:ascii="Calibri" w:hAnsi="Calibri" w:eastAsia="宋体" w:cs="Times New Roman"/>
    </w:rPr>
  </w:style>
  <w:style w:type="character" w:customStyle="1" w:styleId="19">
    <w:name w:val="标题 1 Char"/>
    <w:basedOn w:val="10"/>
    <w:link w:val="2"/>
    <w:qFormat/>
    <w:uiPriority w:val="0"/>
    <w:rPr>
      <w:rFonts w:ascii="Calibri" w:hAnsi="Calibri" w:eastAsia="方正小标宋简体" w:cs="Times New Roman"/>
      <w:kern w:val="44"/>
      <w:sz w:val="44"/>
      <w:szCs w:val="24"/>
    </w:rPr>
  </w:style>
  <w:style w:type="character" w:customStyle="1" w:styleId="20">
    <w:name w:val="正文文本 3 Char"/>
    <w:basedOn w:val="10"/>
    <w:link w:val="3"/>
    <w:qFormat/>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qFormat/>
    <w:uiPriority w:val="0"/>
    <w:rPr>
      <w:rFonts w:ascii="Calibri" w:hAnsi="Calibri" w:eastAsia="宋体" w:cs="Times New Roman"/>
      <w:sz w:val="24"/>
      <w:szCs w:val="24"/>
    </w:rPr>
  </w:style>
  <w:style w:type="character" w:customStyle="1" w:styleId="23">
    <w:name w:val="日期 Char"/>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07563-6469-4BBE-B4EF-F20FD720F51F}">
  <ds:schemaRefs/>
</ds:datastoreItem>
</file>

<file path=docProps/app.xml><?xml version="1.0" encoding="utf-8"?>
<Properties xmlns="http://schemas.openxmlformats.org/officeDocument/2006/extended-properties" xmlns:vt="http://schemas.openxmlformats.org/officeDocument/2006/docPropsVTypes">
  <Template>Normal</Template>
  <Pages>3</Pages>
  <Words>301</Words>
  <Characters>1719</Characters>
  <Lines>14</Lines>
  <Paragraphs>4</Paragraphs>
  <TotalTime>0</TotalTime>
  <ScaleCrop>false</ScaleCrop>
  <LinksUpToDate>false</LinksUpToDate>
  <CharactersWithSpaces>2016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2018-08-03T14:20:00Z</dcterms:created>
  <dc:creator>lenove</dc:creator>
  <cp:lastModifiedBy>张明星</cp:lastModifiedBy>
  <cp:lastPrinted>2017-10-17T02:13:00Z</cp:lastPrinted>
  <dcterms:modified xsi:type="dcterms:W3CDTF">2018-08-13T03:29:52Z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